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_rels/document.xml.rels" ContentType="application/vnd.openxmlformats-package.relationships+xml"/>
  <Override PartName="/word/_rels/header2.xml.rels" ContentType="application/vnd.openxmlformats-package.relationships+xml"/>
  <Override PartName="/word/_rels/header3.xml.rels" ContentType="application/vnd.openxmlformats-package.relationships+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120" w:after="120"/>
        <w:rPr/>
      </w:pPr>
      <w:r>
        <w:rPr/>
        <w:drawing>
          <wp:inline distT="0" distB="0" distL="0" distR="0">
            <wp:extent cx="3048000" cy="619125"/>
            <wp:effectExtent l="0" t="0" r="0" b="0"/>
            <wp:docPr id="1" name="OakhavenLogo" descr="City of Oakhaven&#10;City of Oakhave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akhavenLogo" descr="City of Oakhaven&#10;City of Oakhaven logo"/>
                    <pic:cNvPicPr>
                      <a:picLocks noChangeAspect="1" noChangeArrowheads="1"/>
                    </pic:cNvPicPr>
                  </pic:nvPicPr>
                  <pic:blipFill>
                    <a:blip r:embed="rId2"/>
                    <a:stretch>
                      <a:fillRect/>
                    </a:stretch>
                  </pic:blipFill>
                  <pic:spPr bwMode="auto">
                    <a:xfrm>
                      <a:off x="0" y="0"/>
                      <a:ext cx="3048000" cy="619125"/>
                    </a:xfrm>
                    <a:prstGeom prst="rect">
                      <a:avLst/>
                    </a:prstGeom>
                  </pic:spPr>
                </pic:pic>
              </a:graphicData>
            </a:graphic>
          </wp:inline>
        </w:drawing>
      </w:r>
    </w:p>
    <w:p>
      <w:pPr>
        <w:pStyle w:val="Normal"/>
        <w:spacing w:before="0" w:after="40"/>
        <w:rPr/>
      </w:pPr>
      <w:r>
        <w:rPr>
          <w:b/>
          <w:bCs/>
          <w:color w:val="14401F"/>
          <w:sz w:val="26"/>
          <w:szCs w:val="26"/>
        </w:rPr>
        <w:t>CITY OF OAKHAVEN, LOUISIANA</w:t>
      </w:r>
    </w:p>
    <w:p>
      <w:pPr>
        <w:pStyle w:val="Normal"/>
        <w:pBdr>
          <w:bottom w:val="single" w:sz="12" w:space="6" w:color="2E7D46"/>
        </w:pBdr>
        <w:spacing w:before="0" w:after="220"/>
        <w:rPr/>
      </w:pPr>
      <w:r>
        <w:rPr>
          <w:i/>
          <w:iCs/>
          <w:color w:val="5B6B62"/>
          <w:sz w:val="18"/>
          <w:szCs w:val="18"/>
        </w:rPr>
        <w:t>Office of Emergency Preparedness  ·  Department of Purchasing</w:t>
      </w:r>
    </w:p>
    <w:p>
      <w:pPr>
        <w:pStyle w:val="Normal"/>
        <w:spacing w:before="200" w:after="60"/>
        <w:rPr/>
      </w:pPr>
      <w:r>
        <w:rPr>
          <w:b/>
          <w:bCs/>
          <w:color w:val="2E7D46"/>
          <w:sz w:val="20"/>
          <w:szCs w:val="20"/>
        </w:rPr>
        <w:t>REQUEST FOR PROPOSALS</w:t>
      </w:r>
    </w:p>
    <w:p>
      <w:pPr>
        <w:pStyle w:val="Normal"/>
        <w:spacing w:before="0" w:after="60"/>
        <w:rPr/>
      </w:pPr>
      <w:r>
        <w:rPr>
          <w:b/>
          <w:bCs/>
          <w:color w:val="14401F"/>
          <w:sz w:val="40"/>
          <w:szCs w:val="40"/>
        </w:rPr>
        <w:t>Architectural &amp; Engineering Design Services</w:t>
      </w:r>
    </w:p>
    <w:p>
      <w:pPr>
        <w:pStyle w:val="Normal"/>
        <w:spacing w:before="0" w:after="220"/>
        <w:rPr/>
      </w:pPr>
      <w:r>
        <w:rPr>
          <w:sz w:val="28"/>
          <w:szCs w:val="28"/>
        </w:rPr>
        <w:t>Oakhaven Public Safety Campus</w:t>
      </w:r>
    </w:p>
    <w:tbl>
      <w:tblPr>
        <w:tblW w:w="9360" w:type="dxa"/>
        <w:jc w:val="left"/>
        <w:tblInd w:w="0" w:type="dxa"/>
        <w:tblLayout w:type="fixed"/>
        <w:tblCellMar>
          <w:top w:w="60" w:type="dxa"/>
          <w:left w:w="110" w:type="dxa"/>
          <w:bottom w:w="60" w:type="dxa"/>
          <w:right w:w="110" w:type="dxa"/>
        </w:tblCellMar>
        <w:tblLook w:val="0000" w:noHBand="0" w:noVBand="0" w:firstColumn="0" w:lastRow="0" w:lastColumn="0" w:firstRow="0"/>
      </w:tblPr>
      <w:tblGrid>
        <w:gridCol w:w="2999"/>
        <w:gridCol w:w="6360"/>
      </w:tblGrid>
      <w:tr>
        <w:trPr/>
        <w:tc>
          <w:tcPr>
            <w:tcW w:w="2999"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RFP Number</w:t>
            </w:r>
          </w:p>
        </w:tc>
        <w:tc>
          <w:tcPr>
            <w:tcW w:w="6360"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OEP-2026-004</w:t>
            </w:r>
          </w:p>
        </w:tc>
      </w:tr>
      <w:tr>
        <w:trPr/>
        <w:tc>
          <w:tcPr>
            <w:tcW w:w="2999"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Issued</w:t>
            </w:r>
          </w:p>
        </w:tc>
        <w:tc>
          <w:tcPr>
            <w:tcW w:w="6360"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May 18, 2026</w:t>
            </w:r>
          </w:p>
        </w:tc>
      </w:tr>
      <w:tr>
        <w:trPr/>
        <w:tc>
          <w:tcPr>
            <w:tcW w:w="2999"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Proposals Due</w:t>
            </w:r>
          </w:p>
        </w:tc>
        <w:tc>
          <w:tcPr>
            <w:tcW w:w="6360"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June 19, 2026, by 2:00 PM Central Time</w:t>
            </w:r>
          </w:p>
        </w:tc>
      </w:tr>
      <w:tr>
        <w:trPr/>
        <w:tc>
          <w:tcPr>
            <w:tcW w:w="2999"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Submit To</w:t>
            </w:r>
          </w:p>
        </w:tc>
        <w:tc>
          <w:tcPr>
            <w:tcW w:w="6360"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Karen Whitfield, Director of Emergency Preparedness, City of Oakhaven — City Hall, 100 Municipal Plaza, Oakhaven, LA 70634</w:t>
            </w:r>
          </w:p>
        </w:tc>
      </w:tr>
      <w:tr>
        <w:trPr/>
        <w:tc>
          <w:tcPr>
            <w:tcW w:w="2999"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Project</w:t>
            </w:r>
          </w:p>
        </w:tc>
        <w:tc>
          <w:tcPr>
            <w:tcW w:w="6360"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Oakhaven Public Safety Campus</w:t>
            </w:r>
          </w:p>
        </w:tc>
      </w:tr>
      <w:tr>
        <w:trPr/>
        <w:tc>
          <w:tcPr>
            <w:tcW w:w="2999"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Delivery Method</w:t>
            </w:r>
          </w:p>
        </w:tc>
        <w:tc>
          <w:tcPr>
            <w:tcW w:w="6360"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Design-Bid-Build (Owner/Architect Agreement: AIA Document B101-2017, Standard Form of Agreement Between Owner and Architect (as modified))</w:t>
            </w:r>
          </w:p>
        </w:tc>
      </w:tr>
    </w:tbl>
    <w:p>
      <w:pPr>
        <w:pStyle w:val="Normal"/>
        <w:spacing w:before="180" w:after="0"/>
        <w:rPr/>
      </w:pPr>
      <w:r>
        <w:rPr>
          <w:i/>
          <w:iCs/>
          <w:color w:val="5B6B62"/>
          <w:sz w:val="16"/>
          <w:szCs w:val="16"/>
        </w:rPr>
        <w:t>Fictional training exemplar (GRACE PM Academy). Names, figures, and entities are illustrative.</w:t>
      </w:r>
    </w:p>
    <w:p>
      <w:pPr>
        <w:pStyle w:val="Normal"/>
        <w:rPr/>
      </w:pPr>
      <w:r>
        <w:rPr/>
      </w:r>
      <w:r>
        <w:br w:type="page"/>
      </w:r>
    </w:p>
    <w:p>
      <w:pPr>
        <w:pStyle w:val="Heading1"/>
        <w:spacing w:before="0" w:after="120"/>
        <w:rPr/>
      </w:pPr>
      <w:r>
        <w:rPr/>
        <w:t>1.  Introduction &amp; Invitation</w:t>
      </w:r>
    </w:p>
    <w:p>
      <w:pPr>
        <w:pStyle w:val="Normal"/>
        <w:spacing w:lineRule="auto" w:line="264" w:before="0" w:after="120"/>
        <w:rPr/>
      </w:pPr>
      <w:r>
        <w:rPr/>
        <w:t>The City of Oakhaven ("the City" or "Owner"), acting through its Office of Emergency Preparedness, invites qualified architectural and engineering firms to submit proposals for full design services for the new Oakhaven Public Safety Campus. The selected firm will serve as the Architect of Record and lead a multidisciplinary team through all phases of design, permitting, bidding, and construction administration.</w:t>
      </w:r>
    </w:p>
    <w:p>
      <w:pPr>
        <w:pStyle w:val="Normal"/>
        <w:spacing w:lineRule="auto" w:line="264" w:before="0" w:after="120"/>
        <w:rPr/>
      </w:pPr>
      <w:r>
        <w:rPr/>
        <w:t>The City intends to award a single Owner/Architect Agreement based on AIA Document B101-2017, Standard Form of Agreement Between Owner and Architect (as modified). The successful respondent will be expected to deliver a fully coordinated, code-compliant, essential-facility design that consolidates the City's emergency communications, emergency operations, and public-safety administration functions under one hardened roof.</w:t>
      </w:r>
    </w:p>
    <w:p>
      <w:pPr>
        <w:pStyle w:val="Heading2"/>
        <w:rPr/>
      </w:pPr>
      <w:r>
        <w:rPr/>
        <w:t>1.1  Project Background</w:t>
      </w:r>
    </w:p>
    <w:p>
      <w:pPr>
        <w:pStyle w:val="Normal"/>
        <w:spacing w:lineRule="auto" w:line="264" w:before="0" w:after="120"/>
        <w:rPr/>
      </w:pPr>
      <w:r>
        <w:rPr/>
        <w:t>Oakhaven's 911 dispatch operations, emergency operations center, and police and fire administrative offices are presently distributed across three aging leased buildings. None meets current essential-facility standards for storm survivability, redundant power, or secure operations. Following a 2025 needs assessment and voter-approved bond authorization, the City is proceeding with a purpose-built consolidated campus on a City-owned parcel at 1400 Civic Center Drive.</w:t>
      </w:r>
    </w:p>
    <w:p>
      <w:pPr>
        <w:pStyle w:val="Heading2"/>
        <w:rPr/>
      </w:pPr>
      <w:r>
        <w:rPr/>
        <w:t xml:space="preserve">1.2  </w:t>
      </w:r>
      <w:r>
        <w:rPr/>
        <w:t>Project Summary</w:t>
      </w:r>
      <w:r>
        <w:rPr/>
      </w:r>
    </w:p>
    <w:tbl>
      <w:tblPr>
        <w:tblW w:w="9360" w:type="dxa"/>
        <w:jc w:val="left"/>
        <w:tblInd w:w="0" w:type="dxa"/>
        <w:tblLayout w:type="fixed"/>
        <w:tblCellMar>
          <w:top w:w="60" w:type="dxa"/>
          <w:left w:w="110" w:type="dxa"/>
          <w:bottom w:w="60" w:type="dxa"/>
          <w:right w:w="110" w:type="dxa"/>
        </w:tblCellMar>
        <w:tblLook w:val="0000" w:noHBand="0" w:noVBand="0" w:firstColumn="0" w:lastRow="0" w:lastColumn="0" w:firstRow="0"/>
      </w:tblPr>
      <w:tblGrid>
        <w:gridCol w:w="3200"/>
        <w:gridCol w:w="6159"/>
      </w:tblGrid>
      <w:tr>
        <w:trPr>
          <w:tblHeader w:val="true"/>
        </w:trPr>
        <w:tc>
          <w:tcPr>
            <w:tcW w:w="3200" w:type="dxa"/>
            <w:tcBorders>
              <w:top w:val="single" w:sz="2" w:space="0" w:color="C6DACE"/>
              <w:left w:val="single" w:sz="2" w:space="0" w:color="C6DACE"/>
              <w:bottom w:val="single" w:sz="2" w:space="0" w:color="C6DACE"/>
              <w:right w:val="single" w:sz="2" w:space="0" w:color="C6DACE"/>
            </w:tcBorders>
            <w:shd w:color="auto" w:fill="1E5631" w:val="clear"/>
            <w:vAlign w:val="center"/>
          </w:tcPr>
          <w:p>
            <w:pPr>
              <w:pStyle w:val="Normal"/>
              <w:spacing w:lineRule="auto" w:line="249" w:before="0" w:after="20"/>
              <w:rPr/>
            </w:pPr>
            <w:r>
              <w:rPr>
                <w:b/>
                <w:bCs/>
                <w:color w:val="FFFFFF"/>
                <w:sz w:val="20"/>
                <w:szCs w:val="20"/>
              </w:rPr>
              <w:t>Parameter</w:t>
            </w:r>
          </w:p>
        </w:tc>
        <w:tc>
          <w:tcPr>
            <w:tcW w:w="6159" w:type="dxa"/>
            <w:tcBorders>
              <w:top w:val="single" w:sz="2" w:space="0" w:color="C6DACE"/>
              <w:left w:val="single" w:sz="2" w:space="0" w:color="C6DACE"/>
              <w:bottom w:val="single" w:sz="2" w:space="0" w:color="C6DACE"/>
              <w:right w:val="single" w:sz="2" w:space="0" w:color="C6DACE"/>
            </w:tcBorders>
            <w:shd w:color="auto" w:fill="1E5631" w:val="clear"/>
            <w:vAlign w:val="center"/>
          </w:tcPr>
          <w:p>
            <w:pPr>
              <w:pStyle w:val="Normal"/>
              <w:spacing w:lineRule="auto" w:line="249" w:before="0" w:after="20"/>
              <w:rPr/>
            </w:pPr>
            <w:r>
              <w:rPr>
                <w:b/>
                <w:bCs/>
                <w:color w:val="FFFFFF"/>
                <w:sz w:val="20"/>
                <w:szCs w:val="20"/>
              </w:rPr>
              <w:t>Description</w:t>
            </w:r>
          </w:p>
        </w:tc>
      </w:tr>
      <w:tr>
        <w:trPr/>
        <w:tc>
          <w:tcPr>
            <w:tcW w:w="3200"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Facility Type</w:t>
            </w:r>
          </w:p>
        </w:tc>
        <w:tc>
          <w:tcPr>
            <w:tcW w:w="615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Consolidated Public Safety Facility (911 Emergency Communications / Dispatch, Emergency Operations Center, Police &amp; Fire Administration)</w:t>
            </w:r>
          </w:p>
        </w:tc>
      </w:tr>
      <w:tr>
        <w:trPr/>
        <w:tc>
          <w:tcPr>
            <w:tcW w:w="3200"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Approx. Gross Area</w:t>
            </w:r>
          </w:p>
        </w:tc>
        <w:tc>
          <w:tcPr>
            <w:tcW w:w="615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55,000 GSF</w:t>
            </w:r>
          </w:p>
        </w:tc>
      </w:tr>
      <w:tr>
        <w:trPr/>
        <w:tc>
          <w:tcPr>
            <w:tcW w:w="3200"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Stories</w:t>
            </w:r>
          </w:p>
        </w:tc>
        <w:tc>
          <w:tcPr>
            <w:tcW w:w="615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Two to three stories</w:t>
            </w:r>
          </w:p>
        </w:tc>
      </w:tr>
      <w:tr>
        <w:trPr/>
        <w:tc>
          <w:tcPr>
            <w:tcW w:w="3200"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Design Standard</w:t>
            </w:r>
          </w:p>
        </w:tc>
        <w:tc>
          <w:tcPr>
            <w:tcW w:w="615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Risk Category IV - Essential Facility (IBC); designed for continuous operation during a design-level event</w:t>
            </w:r>
          </w:p>
        </w:tc>
      </w:tr>
      <w:tr>
        <w:trPr/>
        <w:tc>
          <w:tcPr>
            <w:tcW w:w="3200"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Site</w:t>
            </w:r>
          </w:p>
        </w:tc>
        <w:tc>
          <w:tcPr>
            <w:tcW w:w="615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9-acre municipal parcel, 1400 Civic Center Drive, Oakhaven, LA 70634</w:t>
            </w:r>
          </w:p>
        </w:tc>
      </w:tr>
      <w:tr>
        <w:trPr/>
        <w:tc>
          <w:tcPr>
            <w:tcW w:w="3200"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Estimated Construction Budget</w:t>
            </w:r>
          </w:p>
        </w:tc>
        <w:tc>
          <w:tcPr>
            <w:tcW w:w="615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$40,000,000 (approx. $725 / SF)</w:t>
            </w:r>
          </w:p>
        </w:tc>
      </w:tr>
      <w:tr>
        <w:trPr/>
        <w:tc>
          <w:tcPr>
            <w:tcW w:w="3200"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Delivery Method</w:t>
            </w:r>
          </w:p>
        </w:tc>
        <w:tc>
          <w:tcPr>
            <w:tcW w:w="615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Design-Bid-Build</w:t>
            </w:r>
          </w:p>
        </w:tc>
      </w:tr>
    </w:tbl>
    <w:p>
      <w:pPr>
        <w:pStyle w:val="Heading2"/>
        <w:rPr/>
      </w:pPr>
      <w:r>
        <w:rPr/>
        <w:t>1.3  Program Elements</w:t>
      </w:r>
    </w:p>
    <w:p>
      <w:pPr>
        <w:pStyle w:val="Normal"/>
        <w:spacing w:lineRule="auto" w:line="264" w:before="0" w:after="120"/>
        <w:rPr/>
      </w:pPr>
      <w:r>
        <w:rPr/>
        <w:t>The facility program includes, at minimum:</w:t>
      </w:r>
    </w:p>
    <w:p>
      <w:pPr>
        <w:pStyle w:val="ListParagraph"/>
        <w:numPr>
          <w:ilvl w:val="0"/>
          <w:numId w:val="4"/>
        </w:numPr>
        <w:spacing w:lineRule="auto" w:line="261" w:before="0" w:after="70"/>
        <w:rPr/>
      </w:pPr>
      <w:r>
        <w:rPr/>
        <w:t>A 24/7 hardened 911 Emergency Communications / Dispatch center with a minimum of 8 dispatch console positions and a training/overflow position array;</w:t>
      </w:r>
    </w:p>
    <w:p>
      <w:pPr>
        <w:pStyle w:val="ListParagraph"/>
        <w:numPr>
          <w:ilvl w:val="0"/>
          <w:numId w:val="1"/>
        </w:numPr>
        <w:spacing w:lineRule="auto" w:line="261" w:before="0" w:after="70"/>
        <w:rPr/>
      </w:pPr>
      <w:r>
        <w:rPr/>
        <w:t>A dual-use Emergency Operations Center (EOC) sized for 40 seated positions with breakout and media briefing space;</w:t>
      </w:r>
    </w:p>
    <w:p>
      <w:pPr>
        <w:pStyle w:val="ListParagraph"/>
        <w:numPr>
          <w:ilvl w:val="0"/>
          <w:numId w:val="1"/>
        </w:numPr>
        <w:spacing w:lineRule="auto" w:line="261" w:before="0" w:after="70"/>
        <w:rPr/>
      </w:pPr>
      <w:r>
        <w:rPr/>
        <w:t>Police and Fire administrative offices, report-writing, and shared conference space;</w:t>
      </w:r>
    </w:p>
    <w:p>
      <w:pPr>
        <w:pStyle w:val="ListParagraph"/>
        <w:numPr>
          <w:ilvl w:val="0"/>
          <w:numId w:val="1"/>
        </w:numPr>
        <w:spacing w:lineRule="auto" w:line="261" w:before="0" w:after="70"/>
        <w:rPr/>
      </w:pPr>
      <w:r>
        <w:rPr/>
        <w:t>Secure evidence and equipment storage, IT/server and radio equipment rooms, and a UPS/battery room;</w:t>
      </w:r>
    </w:p>
    <w:p>
      <w:pPr>
        <w:pStyle w:val="ListParagraph"/>
        <w:numPr>
          <w:ilvl w:val="0"/>
          <w:numId w:val="1"/>
        </w:numPr>
        <w:spacing w:lineRule="auto" w:line="261" w:before="0" w:after="70"/>
        <w:rPr/>
      </w:pPr>
      <w:r>
        <w:rPr/>
        <w:t>Staff support spaces: locker/shower, quiet/rest rooms for shift personnel, break room, and fitness;</w:t>
      </w:r>
    </w:p>
    <w:p>
      <w:pPr>
        <w:pStyle w:val="ListParagraph"/>
        <w:numPr>
          <w:ilvl w:val="0"/>
          <w:numId w:val="1"/>
        </w:numPr>
        <w:spacing w:lineRule="auto" w:line="261" w:before="0" w:after="70"/>
        <w:rPr/>
      </w:pPr>
      <w:r>
        <w:rPr/>
        <w:t>Redundant standby power (generator and fuel), redundant HVAC serving mission-critical spaces, and a hardened building envelope;</w:t>
      </w:r>
    </w:p>
    <w:p>
      <w:pPr>
        <w:pStyle w:val="ListParagraph"/>
        <w:numPr>
          <w:ilvl w:val="0"/>
          <w:numId w:val="1"/>
        </w:numPr>
        <w:spacing w:lineRule="auto" w:line="261" w:before="0" w:after="70"/>
        <w:rPr/>
      </w:pPr>
      <w:r>
        <w:rPr/>
        <w:t>Secure site with controlled staff/emergency access separated from public visitor access, a sally port, and a communications tower.</w:t>
      </w:r>
    </w:p>
    <w:p>
      <w:pPr>
        <w:pStyle w:val="Normal"/>
        <w:rPr/>
      </w:pPr>
      <w:r>
        <w:rPr/>
      </w:r>
      <w:r>
        <w:br w:type="page"/>
      </w:r>
    </w:p>
    <w:p>
      <w:pPr>
        <w:pStyle w:val="Heading1"/>
        <w:spacing w:before="0" w:after="120"/>
        <w:rPr/>
      </w:pPr>
      <w:r>
        <w:rPr/>
        <w:t>2.  Scope of Services Requested</w:t>
      </w:r>
    </w:p>
    <w:p>
      <w:pPr>
        <w:pStyle w:val="Normal"/>
        <w:spacing w:lineRule="auto" w:line="264" w:before="0" w:after="120"/>
        <w:rPr/>
      </w:pPr>
      <w:r>
        <w:rPr/>
        <w:t>The Owner seeks complete Basic Services across all design and construction phases. Proposals shall address each of the following:</w:t>
      </w:r>
    </w:p>
    <w:p>
      <w:pPr>
        <w:pStyle w:val="Heading2"/>
        <w:rPr/>
      </w:pPr>
      <w:r>
        <w:rPr/>
        <w:t>2.1  Basic Services</w:t>
      </w:r>
    </w:p>
    <w:p>
      <w:pPr>
        <w:pStyle w:val="ListParagraph"/>
        <w:numPr>
          <w:ilvl w:val="0"/>
          <w:numId w:val="1"/>
        </w:numPr>
        <w:spacing w:lineRule="auto" w:line="261" w:before="0" w:after="70"/>
        <w:rPr/>
      </w:pPr>
      <w:r>
        <w:rPr/>
        <w:t>Architectural and interior design;</w:t>
      </w:r>
    </w:p>
    <w:p>
      <w:pPr>
        <w:pStyle w:val="ListParagraph"/>
        <w:numPr>
          <w:ilvl w:val="0"/>
          <w:numId w:val="1"/>
        </w:numPr>
        <w:spacing w:lineRule="auto" w:line="261" w:before="0" w:after="70"/>
        <w:rPr/>
      </w:pPr>
      <w:r>
        <w:rPr/>
        <w:t>Structural engineering;</w:t>
      </w:r>
    </w:p>
    <w:p>
      <w:pPr>
        <w:pStyle w:val="ListParagraph"/>
        <w:numPr>
          <w:ilvl w:val="0"/>
          <w:numId w:val="1"/>
        </w:numPr>
        <w:spacing w:lineRule="auto" w:line="261" w:before="0" w:after="70"/>
        <w:rPr/>
      </w:pPr>
      <w:r>
        <w:rPr/>
        <w:t>Mechanical, electrical, plumbing, and fire-protection (MEP/FP) engineering;</w:t>
      </w:r>
    </w:p>
    <w:p>
      <w:pPr>
        <w:pStyle w:val="ListParagraph"/>
        <w:numPr>
          <w:ilvl w:val="0"/>
          <w:numId w:val="1"/>
        </w:numPr>
        <w:spacing w:lineRule="auto" w:line="261" w:before="0" w:after="70"/>
        <w:rPr/>
      </w:pPr>
      <w:r>
        <w:rPr/>
        <w:t>Acoustical design;</w:t>
      </w:r>
    </w:p>
    <w:p>
      <w:pPr>
        <w:pStyle w:val="ListParagraph"/>
        <w:numPr>
          <w:ilvl w:val="0"/>
          <w:numId w:val="1"/>
        </w:numPr>
        <w:spacing w:lineRule="auto" w:line="261" w:before="0" w:after="70"/>
        <w:rPr/>
      </w:pPr>
      <w:r>
        <w:rPr/>
        <w:t>Technology, security, and low-voltage design coordination (dispatch consoles and radio systems are Owner-Furnished; the Architect shall coordinate infrastructure);</w:t>
      </w:r>
    </w:p>
    <w:p>
      <w:pPr>
        <w:pStyle w:val="ListParagraph"/>
        <w:numPr>
          <w:ilvl w:val="0"/>
          <w:numId w:val="1"/>
        </w:numPr>
        <w:spacing w:lineRule="auto" w:line="261" w:before="0" w:after="70"/>
        <w:rPr/>
      </w:pPr>
      <w:r>
        <w:rPr/>
        <w:t>Coordination with the City's separately-retained Civil Engineer (civil / site design is NOT part of this scope — see 2.3);</w:t>
      </w:r>
    </w:p>
    <w:p>
      <w:pPr>
        <w:pStyle w:val="ListParagraph"/>
        <w:numPr>
          <w:ilvl w:val="0"/>
          <w:numId w:val="1"/>
        </w:numPr>
        <w:spacing w:lineRule="auto" w:line="261" w:before="0" w:after="70"/>
        <w:rPr/>
      </w:pPr>
      <w:r>
        <w:rPr/>
        <w:t>Space programming validation and site planning;</w:t>
      </w:r>
    </w:p>
    <w:p>
      <w:pPr>
        <w:pStyle w:val="ListParagraph"/>
        <w:numPr>
          <w:ilvl w:val="0"/>
          <w:numId w:val="1"/>
        </w:numPr>
        <w:spacing w:lineRule="auto" w:line="261" w:before="0" w:after="70"/>
        <w:rPr/>
      </w:pPr>
      <w:r>
        <w:rPr/>
        <w:t>Code compliance review, life-safety analysis, and permitting support with all Authorities Having Jurisdiction (AHJs);</w:t>
      </w:r>
    </w:p>
    <w:p>
      <w:pPr>
        <w:pStyle w:val="ListParagraph"/>
        <w:numPr>
          <w:ilvl w:val="0"/>
          <w:numId w:val="1"/>
        </w:numPr>
        <w:spacing w:lineRule="auto" w:line="261" w:before="0" w:after="70"/>
        <w:rPr/>
      </w:pPr>
      <w:r>
        <w:rPr/>
        <w:t>Cost estimating at Schematic Design, Design Development, and Construction Documents milestones;</w:t>
      </w:r>
    </w:p>
    <w:p>
      <w:pPr>
        <w:pStyle w:val="ListParagraph"/>
        <w:numPr>
          <w:ilvl w:val="0"/>
          <w:numId w:val="1"/>
        </w:numPr>
        <w:spacing w:lineRule="auto" w:line="261" w:before="0" w:after="70"/>
        <w:rPr/>
      </w:pPr>
      <w:r>
        <w:rPr/>
        <w:t>Bidding / negotiation support; and</w:t>
      </w:r>
    </w:p>
    <w:p>
      <w:pPr>
        <w:pStyle w:val="ListParagraph"/>
        <w:numPr>
          <w:ilvl w:val="0"/>
          <w:numId w:val="1"/>
        </w:numPr>
        <w:spacing w:lineRule="auto" w:line="261" w:before="0" w:after="70"/>
        <w:rPr/>
      </w:pPr>
      <w:r>
        <w:rPr/>
        <w:t>Construction Administration, including submittal review, RFI response, field observation, and closeout.</w:t>
      </w:r>
    </w:p>
    <w:p>
      <w:pPr>
        <w:pStyle w:val="Heading2"/>
        <w:rPr/>
      </w:pPr>
      <w:r>
        <w:rPr/>
        <w:t>2.2  Design Phases &amp; Deliverables</w:t>
      </w:r>
    </w:p>
    <w:p>
      <w:pPr>
        <w:pStyle w:val="Normal"/>
        <w:spacing w:lineRule="auto" w:line="264" w:before="0" w:after="120"/>
        <w:rPr/>
      </w:pPr>
      <w:r>
        <w:rPr/>
        <w:t>Services shall be organized in the following phases, consistent with the AIA B101-2017 standard:</w:t>
      </w:r>
    </w:p>
    <w:tbl>
      <w:tblPr>
        <w:tblW w:w="9360" w:type="dxa"/>
        <w:jc w:val="left"/>
        <w:tblInd w:w="0" w:type="dxa"/>
        <w:tblLayout w:type="fixed"/>
        <w:tblCellMar>
          <w:top w:w="60" w:type="dxa"/>
          <w:left w:w="110" w:type="dxa"/>
          <w:bottom w:w="60" w:type="dxa"/>
          <w:right w:w="110" w:type="dxa"/>
        </w:tblCellMar>
        <w:tblLook w:val="0000" w:noHBand="0" w:noVBand="0" w:firstColumn="0" w:lastRow="0" w:lastColumn="0" w:firstRow="0"/>
      </w:tblPr>
      <w:tblGrid>
        <w:gridCol w:w="2600"/>
        <w:gridCol w:w="6759"/>
      </w:tblGrid>
      <w:tr>
        <w:trPr>
          <w:tblHeader w:val="true"/>
        </w:trPr>
        <w:tc>
          <w:tcPr>
            <w:tcW w:w="2600" w:type="dxa"/>
            <w:tcBorders>
              <w:top w:val="single" w:sz="2" w:space="0" w:color="C6DACE"/>
              <w:left w:val="single" w:sz="2" w:space="0" w:color="C6DACE"/>
              <w:bottom w:val="single" w:sz="2" w:space="0" w:color="C6DACE"/>
              <w:right w:val="single" w:sz="2" w:space="0" w:color="C6DACE"/>
            </w:tcBorders>
            <w:shd w:color="auto" w:fill="1E5631" w:val="clear"/>
            <w:vAlign w:val="center"/>
          </w:tcPr>
          <w:p>
            <w:pPr>
              <w:pStyle w:val="Normal"/>
              <w:spacing w:lineRule="auto" w:line="249" w:before="0" w:after="20"/>
              <w:rPr/>
            </w:pPr>
            <w:r>
              <w:rPr>
                <w:b/>
                <w:bCs/>
                <w:color w:val="FFFFFF"/>
                <w:sz w:val="20"/>
                <w:szCs w:val="20"/>
              </w:rPr>
              <w:t>Phase</w:t>
            </w:r>
          </w:p>
        </w:tc>
        <w:tc>
          <w:tcPr>
            <w:tcW w:w="6759" w:type="dxa"/>
            <w:tcBorders>
              <w:top w:val="single" w:sz="2" w:space="0" w:color="C6DACE"/>
              <w:left w:val="single" w:sz="2" w:space="0" w:color="C6DACE"/>
              <w:bottom w:val="single" w:sz="2" w:space="0" w:color="C6DACE"/>
              <w:right w:val="single" w:sz="2" w:space="0" w:color="C6DACE"/>
            </w:tcBorders>
            <w:shd w:color="auto" w:fill="1E5631" w:val="clear"/>
            <w:vAlign w:val="center"/>
          </w:tcPr>
          <w:p>
            <w:pPr>
              <w:pStyle w:val="Normal"/>
              <w:spacing w:lineRule="auto" w:line="249" w:before="0" w:after="20"/>
              <w:rPr/>
            </w:pPr>
            <w:r>
              <w:rPr>
                <w:b/>
                <w:bCs/>
                <w:color w:val="FFFFFF"/>
                <w:sz w:val="20"/>
                <w:szCs w:val="20"/>
              </w:rPr>
              <w:t>Key Deliverables</w:t>
            </w:r>
          </w:p>
        </w:tc>
      </w:tr>
      <w:tr>
        <w:trPr/>
        <w:tc>
          <w:tcPr>
            <w:tcW w:w="2600" w:type="dxa"/>
            <w:tcBorders>
              <w:top w:val="single" w:sz="2" w:space="0" w:color="C6DACE"/>
              <w:left w:val="single" w:sz="2" w:space="0" w:color="C6DACE"/>
              <w:bottom w:val="single" w:sz="2" w:space="0" w:color="C6DACE"/>
              <w:right w:val="single" w:sz="2" w:space="0" w:color="C6DACE"/>
            </w:tcBorders>
            <w:shd w:color="auto" w:fill="DCEEE1" w:val="clear"/>
            <w:vAlign w:val="center"/>
          </w:tcPr>
          <w:p>
            <w:pPr>
              <w:pStyle w:val="Normal"/>
              <w:spacing w:lineRule="auto" w:line="249" w:before="0" w:after="20"/>
              <w:rPr/>
            </w:pPr>
            <w:r>
              <w:rPr>
                <w:b/>
                <w:bCs/>
                <w:sz w:val="20"/>
                <w:szCs w:val="20"/>
              </w:rPr>
              <w:t>Programming</w:t>
            </w:r>
          </w:p>
        </w:tc>
        <w:tc>
          <w:tcPr>
            <w:tcW w:w="675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Validated space program, site utilization diagram, project design criteria.</w:t>
            </w:r>
          </w:p>
        </w:tc>
      </w:tr>
      <w:tr>
        <w:trPr/>
        <w:tc>
          <w:tcPr>
            <w:tcW w:w="2600" w:type="dxa"/>
            <w:tcBorders>
              <w:top w:val="single" w:sz="2" w:space="0" w:color="C6DACE"/>
              <w:left w:val="single" w:sz="2" w:space="0" w:color="C6DACE"/>
              <w:bottom w:val="single" w:sz="2" w:space="0" w:color="C6DACE"/>
              <w:right w:val="single" w:sz="2" w:space="0" w:color="C6DACE"/>
            </w:tcBorders>
            <w:shd w:color="auto" w:fill="DCEEE1" w:val="clear"/>
            <w:vAlign w:val="center"/>
          </w:tcPr>
          <w:p>
            <w:pPr>
              <w:pStyle w:val="Normal"/>
              <w:spacing w:lineRule="auto" w:line="249" w:before="0" w:after="20"/>
              <w:rPr/>
            </w:pPr>
            <w:r>
              <w:rPr>
                <w:b/>
                <w:bCs/>
                <w:sz w:val="20"/>
                <w:szCs w:val="20"/>
              </w:rPr>
              <w:t>Schematic Design</w:t>
            </w:r>
          </w:p>
        </w:tc>
        <w:tc>
          <w:tcPr>
            <w:tcW w:w="675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Site plan, preliminary floor plans, massing/elevations, code analysis, design narrative, SD cost estimate.</w:t>
            </w:r>
          </w:p>
        </w:tc>
      </w:tr>
      <w:tr>
        <w:trPr/>
        <w:tc>
          <w:tcPr>
            <w:tcW w:w="2600" w:type="dxa"/>
            <w:tcBorders>
              <w:top w:val="single" w:sz="2" w:space="0" w:color="C6DACE"/>
              <w:left w:val="single" w:sz="2" w:space="0" w:color="C6DACE"/>
              <w:bottom w:val="single" w:sz="2" w:space="0" w:color="C6DACE"/>
              <w:right w:val="single" w:sz="2" w:space="0" w:color="C6DACE"/>
            </w:tcBorders>
            <w:shd w:color="auto" w:fill="DCEEE1" w:val="clear"/>
            <w:vAlign w:val="center"/>
          </w:tcPr>
          <w:p>
            <w:pPr>
              <w:pStyle w:val="Normal"/>
              <w:spacing w:lineRule="auto" w:line="249" w:before="0" w:after="20"/>
              <w:rPr/>
            </w:pPr>
            <w:r>
              <w:rPr>
                <w:b/>
                <w:bCs/>
                <w:sz w:val="20"/>
                <w:szCs w:val="20"/>
              </w:rPr>
              <w:t>Design Development</w:t>
            </w:r>
          </w:p>
        </w:tc>
        <w:tc>
          <w:tcPr>
            <w:tcW w:w="675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Developed plans, sections, and elevations; MEP/structural integration; outline specifications; DD cost estimate.</w:t>
            </w:r>
          </w:p>
        </w:tc>
      </w:tr>
      <w:tr>
        <w:trPr/>
        <w:tc>
          <w:tcPr>
            <w:tcW w:w="2600" w:type="dxa"/>
            <w:tcBorders>
              <w:top w:val="single" w:sz="2" w:space="0" w:color="C6DACE"/>
              <w:left w:val="single" w:sz="2" w:space="0" w:color="C6DACE"/>
              <w:bottom w:val="single" w:sz="2" w:space="0" w:color="C6DACE"/>
              <w:right w:val="single" w:sz="2" w:space="0" w:color="C6DACE"/>
            </w:tcBorders>
            <w:shd w:color="auto" w:fill="DCEEE1" w:val="clear"/>
            <w:vAlign w:val="center"/>
          </w:tcPr>
          <w:p>
            <w:pPr>
              <w:pStyle w:val="Normal"/>
              <w:spacing w:lineRule="auto" w:line="249" w:before="0" w:after="20"/>
              <w:rPr/>
            </w:pPr>
            <w:r>
              <w:rPr>
                <w:b/>
                <w:bCs/>
                <w:sz w:val="20"/>
                <w:szCs w:val="20"/>
              </w:rPr>
              <w:t>Construction Documents</w:t>
            </w:r>
          </w:p>
        </w:tc>
        <w:tc>
          <w:tcPr>
            <w:tcW w:w="675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Complete, coordinated, permit-ready drawings and specifications; CD cost estimate; permit submission support.</w:t>
            </w:r>
          </w:p>
        </w:tc>
      </w:tr>
      <w:tr>
        <w:trPr/>
        <w:tc>
          <w:tcPr>
            <w:tcW w:w="2600" w:type="dxa"/>
            <w:tcBorders>
              <w:top w:val="single" w:sz="2" w:space="0" w:color="C6DACE"/>
              <w:left w:val="single" w:sz="2" w:space="0" w:color="C6DACE"/>
              <w:bottom w:val="single" w:sz="2" w:space="0" w:color="C6DACE"/>
              <w:right w:val="single" w:sz="2" w:space="0" w:color="C6DACE"/>
            </w:tcBorders>
            <w:shd w:color="auto" w:fill="DCEEE1" w:val="clear"/>
            <w:vAlign w:val="center"/>
          </w:tcPr>
          <w:p>
            <w:pPr>
              <w:pStyle w:val="Normal"/>
              <w:spacing w:lineRule="auto" w:line="249" w:before="0" w:after="20"/>
              <w:rPr/>
            </w:pPr>
            <w:r>
              <w:rPr>
                <w:b/>
                <w:bCs/>
                <w:sz w:val="20"/>
                <w:szCs w:val="20"/>
              </w:rPr>
              <w:t>Bidding &amp; Negotiation</w:t>
            </w:r>
          </w:p>
        </w:tc>
        <w:tc>
          <w:tcPr>
            <w:tcW w:w="675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Addenda, bid-question responses, bid evaluation and award recommendation.</w:t>
            </w:r>
          </w:p>
        </w:tc>
      </w:tr>
      <w:tr>
        <w:trPr/>
        <w:tc>
          <w:tcPr>
            <w:tcW w:w="2600" w:type="dxa"/>
            <w:tcBorders>
              <w:top w:val="single" w:sz="2" w:space="0" w:color="C6DACE"/>
              <w:left w:val="single" w:sz="2" w:space="0" w:color="C6DACE"/>
              <w:bottom w:val="single" w:sz="2" w:space="0" w:color="C6DACE"/>
              <w:right w:val="single" w:sz="2" w:space="0" w:color="C6DACE"/>
            </w:tcBorders>
            <w:shd w:color="auto" w:fill="DCEEE1" w:val="clear"/>
            <w:vAlign w:val="center"/>
          </w:tcPr>
          <w:p>
            <w:pPr>
              <w:pStyle w:val="Normal"/>
              <w:spacing w:lineRule="auto" w:line="249" w:before="0" w:after="20"/>
              <w:rPr/>
            </w:pPr>
            <w:r>
              <w:rPr>
                <w:b/>
                <w:bCs/>
                <w:sz w:val="20"/>
                <w:szCs w:val="20"/>
              </w:rPr>
              <w:t>Construction Administration</w:t>
            </w:r>
          </w:p>
        </w:tc>
        <w:tc>
          <w:tcPr>
            <w:tcW w:w="675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Submittal/RFI processing, site observation, pay-application review, punch list, and record documents.</w:t>
            </w:r>
          </w:p>
        </w:tc>
      </w:tr>
    </w:tbl>
    <w:p>
      <w:pPr>
        <w:pStyle w:val="Heading2"/>
        <w:rPr/>
      </w:pPr>
      <w:r>
        <w:rPr/>
        <w:t>2.3  Owner-Furnished Items</w:t>
      </w:r>
    </w:p>
    <w:p>
      <w:pPr>
        <w:pStyle w:val="ListParagraph"/>
        <w:numPr>
          <w:ilvl w:val="0"/>
          <w:numId w:val="1"/>
        </w:numPr>
        <w:spacing w:lineRule="auto" w:line="261" w:before="0" w:after="70"/>
        <w:rPr/>
      </w:pPr>
      <w:r>
        <w:rPr/>
        <w:t>Civil / site engineering — the City is retaining a Civil Engineer under a separate, direct contract; the selected A/E shall coordinate with that consultant;</w:t>
      </w:r>
    </w:p>
    <w:p>
      <w:pPr>
        <w:pStyle w:val="ListParagraph"/>
        <w:numPr>
          <w:ilvl w:val="0"/>
          <w:numId w:val="1"/>
        </w:numPr>
        <w:spacing w:lineRule="auto" w:line="261" w:before="0" w:after="70"/>
        <w:rPr/>
      </w:pPr>
      <w:r>
        <w:rPr/>
        <w:t>Boundary and topographic survey;</w:t>
      </w:r>
    </w:p>
    <w:p>
      <w:pPr>
        <w:pStyle w:val="ListParagraph"/>
        <w:numPr>
          <w:ilvl w:val="0"/>
          <w:numId w:val="1"/>
        </w:numPr>
        <w:spacing w:lineRule="auto" w:line="261" w:before="0" w:after="70"/>
        <w:rPr/>
      </w:pPr>
      <w:r>
        <w:rPr/>
        <w:t>Geotechnical investigation and report;</w:t>
      </w:r>
    </w:p>
    <w:p>
      <w:pPr>
        <w:pStyle w:val="ListParagraph"/>
        <w:numPr>
          <w:ilvl w:val="0"/>
          <w:numId w:val="1"/>
        </w:numPr>
        <w:spacing w:lineRule="auto" w:line="261" w:before="0" w:after="70"/>
        <w:rPr/>
      </w:pPr>
      <w:r>
        <w:rPr/>
        <w:t>911 dispatch console furniture and CAD/radio dispatch systems (Owner-Furnished, Contractor-Installed coordination required);</w:t>
      </w:r>
    </w:p>
    <w:p>
      <w:pPr>
        <w:pStyle w:val="ListParagraph"/>
        <w:numPr>
          <w:ilvl w:val="0"/>
          <w:numId w:val="1"/>
        </w:numPr>
        <w:spacing w:lineRule="auto" w:line="261" w:before="0" w:after="70"/>
        <w:rPr/>
      </w:pPr>
      <w:r>
        <w:rPr/>
        <w:t>Program of requirements from the 2025 needs assessment.</w:t>
      </w:r>
    </w:p>
    <w:p>
      <w:pPr>
        <w:pStyle w:val="Normal"/>
        <w:rPr/>
      </w:pPr>
      <w:r>
        <w:rPr/>
      </w:r>
      <w:r>
        <w:br w:type="page"/>
      </w:r>
    </w:p>
    <w:p>
      <w:pPr>
        <w:pStyle w:val="Heading1"/>
        <w:spacing w:before="0" w:after="120"/>
        <w:rPr/>
      </w:pPr>
      <w:r>
        <w:rPr/>
        <w:t>3.  Submittal Requirements</w:t>
      </w:r>
    </w:p>
    <w:p>
      <w:pPr>
        <w:pStyle w:val="Normal"/>
        <w:spacing w:lineRule="auto" w:line="264" w:before="0" w:after="120"/>
        <w:rPr/>
      </w:pPr>
      <w:r>
        <w:rPr/>
        <w:t>Proposals shall not exceed 30 pages (excluding required forms) and shall be organized in the following order:</w:t>
      </w:r>
    </w:p>
    <w:p>
      <w:pPr>
        <w:pStyle w:val="ListParagraph"/>
        <w:numPr>
          <w:ilvl w:val="0"/>
          <w:numId w:val="5"/>
        </w:numPr>
        <w:spacing w:lineRule="auto" w:line="261" w:before="0" w:after="70"/>
        <w:rPr/>
      </w:pPr>
      <w:r>
        <w:rPr/>
        <w:t>Cover letter and primary point of contact;</w:t>
      </w:r>
    </w:p>
    <w:p>
      <w:pPr>
        <w:pStyle w:val="ListParagraph"/>
        <w:numPr>
          <w:ilvl w:val="0"/>
          <w:numId w:val="2"/>
        </w:numPr>
        <w:spacing w:lineRule="auto" w:line="261" w:before="0" w:after="70"/>
        <w:rPr/>
      </w:pPr>
      <w:r>
        <w:rPr/>
        <w:t>Firm profile, office location(s), and evidence of Louisiana licensure and professional liability insurance;</w:t>
      </w:r>
    </w:p>
    <w:p>
      <w:pPr>
        <w:pStyle w:val="ListParagraph"/>
        <w:numPr>
          <w:ilvl w:val="0"/>
          <w:numId w:val="2"/>
        </w:numPr>
        <w:spacing w:lineRule="auto" w:line="261" w:before="0" w:after="70"/>
        <w:rPr/>
      </w:pPr>
      <w:r>
        <w:rPr/>
        <w:t>Relevant experience — a minimum of three (3) comparable essential-facility or public-safety projects completed within the last ten (10) years, with references;</w:t>
      </w:r>
    </w:p>
    <w:p>
      <w:pPr>
        <w:pStyle w:val="ListParagraph"/>
        <w:numPr>
          <w:ilvl w:val="0"/>
          <w:numId w:val="2"/>
        </w:numPr>
        <w:spacing w:lineRule="auto" w:line="261" w:before="0" w:after="70"/>
        <w:rPr/>
      </w:pPr>
      <w:r>
        <w:rPr/>
        <w:t>Proposed project team, org chart, and résumés for the Principal-in-Charge, Project Manager, and key discipline leads;</w:t>
      </w:r>
    </w:p>
    <w:p>
      <w:pPr>
        <w:pStyle w:val="ListParagraph"/>
        <w:numPr>
          <w:ilvl w:val="0"/>
          <w:numId w:val="2"/>
        </w:numPr>
        <w:spacing w:lineRule="auto" w:line="261" w:before="0" w:after="70"/>
        <w:rPr/>
      </w:pPr>
      <w:r>
        <w:rPr/>
        <w:t>Project approach and methodology, including quality assurance/quality control (QA/QC) and schedule-control processes;</w:t>
      </w:r>
    </w:p>
    <w:p>
      <w:pPr>
        <w:pStyle w:val="ListParagraph"/>
        <w:numPr>
          <w:ilvl w:val="0"/>
          <w:numId w:val="2"/>
        </w:numPr>
        <w:spacing w:lineRule="auto" w:line="261" w:before="0" w:after="70"/>
        <w:rPr/>
      </w:pPr>
      <w:r>
        <w:rPr/>
        <w:t>Proposed design schedule aligned to the milestones in Section 5;</w:t>
      </w:r>
    </w:p>
    <w:p>
      <w:pPr>
        <w:pStyle w:val="ListParagraph"/>
        <w:numPr>
          <w:ilvl w:val="0"/>
          <w:numId w:val="2"/>
        </w:numPr>
        <w:spacing w:lineRule="auto" w:line="261" w:before="0" w:after="70"/>
        <w:rPr/>
      </w:pPr>
      <w:r>
        <w:rPr/>
        <w:t>Fee proposal — a lump-sum Basic Services fee with a phase-by-phase breakdown.</w:t>
      </w:r>
    </w:p>
    <w:p>
      <w:pPr>
        <w:pStyle w:val="ListParagraph"/>
        <w:numPr>
          <w:ilvl w:val="0"/>
          <w:numId w:val="2"/>
        </w:numPr>
        <w:spacing w:lineRule="auto" w:line="261" w:before="0" w:after="70"/>
        <w:rPr/>
      </w:pPr>
      <w:r>
        <w:rPr/>
        <w:t>Completed and signed City procurement and non-collusion forms.</w:t>
      </w:r>
    </w:p>
    <w:p>
      <w:pPr>
        <w:pStyle w:val="Heading2"/>
        <w:rPr/>
      </w:pPr>
      <w:r>
        <w:rPr/>
        <w:t>3.1  Questions</w:t>
      </w:r>
    </w:p>
    <w:p>
      <w:pPr>
        <w:pStyle w:val="Normal"/>
        <w:spacing w:lineRule="auto" w:line="264" w:before="0" w:after="120"/>
        <w:rPr/>
      </w:pPr>
      <w:r>
        <w:rPr/>
        <w:t xml:space="preserve">All questions shall be submitted in writing to </w:t>
      </w:r>
      <w:r>
        <w:rPr>
          <w:b/>
          <w:bCs/>
        </w:rPr>
        <w:t>Thomas Nguyen, Purchasing Agent, City of Oakhaven</w:t>
      </w:r>
      <w:r>
        <w:rPr/>
        <w:t>, no later than June 5, 2026. Responses will be issued by written addendum to all registered respondents. Verbal responses are not binding.</w:t>
      </w:r>
    </w:p>
    <w:p>
      <w:pPr>
        <w:pStyle w:val="Heading1"/>
        <w:rPr/>
      </w:pPr>
      <w:r>
        <w:rPr/>
        <w:t>4.  Evaluation Criteria</w:t>
      </w:r>
    </w:p>
    <w:p>
      <w:pPr>
        <w:pStyle w:val="Normal"/>
        <w:spacing w:lineRule="auto" w:line="264" w:before="0" w:after="120"/>
        <w:rPr/>
      </w:pPr>
      <w:r>
        <w:rPr/>
        <w:t>A selection committee will score responsive proposals on a 100-point basis. The City reserves the right to shortlist and interview finalists. Award will be based on best overall value, not lowest fee alone.</w:t>
      </w:r>
    </w:p>
    <w:tbl>
      <w:tblPr>
        <w:tblW w:w="9360" w:type="dxa"/>
        <w:jc w:val="left"/>
        <w:tblInd w:w="0" w:type="dxa"/>
        <w:tblLayout w:type="fixed"/>
        <w:tblCellMar>
          <w:top w:w="60" w:type="dxa"/>
          <w:left w:w="110" w:type="dxa"/>
          <w:bottom w:w="60" w:type="dxa"/>
          <w:right w:w="110" w:type="dxa"/>
        </w:tblCellMar>
        <w:tblLook w:val="0000" w:noHBand="0" w:noVBand="0" w:firstColumn="0" w:lastRow="0" w:lastColumn="0" w:firstRow="0"/>
      </w:tblPr>
      <w:tblGrid>
        <w:gridCol w:w="6560"/>
        <w:gridCol w:w="1399"/>
        <w:gridCol w:w="1401"/>
      </w:tblGrid>
      <w:tr>
        <w:trPr>
          <w:tblHeader w:val="true"/>
        </w:trPr>
        <w:tc>
          <w:tcPr>
            <w:tcW w:w="6560" w:type="dxa"/>
            <w:tcBorders>
              <w:top w:val="single" w:sz="2" w:space="0" w:color="C6DACE"/>
              <w:left w:val="single" w:sz="2" w:space="0" w:color="C6DACE"/>
              <w:bottom w:val="single" w:sz="2" w:space="0" w:color="C6DACE"/>
              <w:right w:val="single" w:sz="2" w:space="0" w:color="C6DACE"/>
            </w:tcBorders>
            <w:shd w:color="auto" w:fill="1E5631" w:val="clear"/>
            <w:vAlign w:val="center"/>
          </w:tcPr>
          <w:p>
            <w:pPr>
              <w:pStyle w:val="Normal"/>
              <w:spacing w:lineRule="auto" w:line="249" w:before="0" w:after="20"/>
              <w:rPr/>
            </w:pPr>
            <w:r>
              <w:rPr>
                <w:b/>
                <w:bCs/>
                <w:color w:val="FFFFFF"/>
                <w:sz w:val="20"/>
                <w:szCs w:val="20"/>
              </w:rPr>
              <w:t>Criterion</w:t>
            </w:r>
          </w:p>
        </w:tc>
        <w:tc>
          <w:tcPr>
            <w:tcW w:w="1399" w:type="dxa"/>
            <w:tcBorders>
              <w:top w:val="single" w:sz="2" w:space="0" w:color="C6DACE"/>
              <w:left w:val="single" w:sz="2" w:space="0" w:color="C6DACE"/>
              <w:bottom w:val="single" w:sz="2" w:space="0" w:color="C6DACE"/>
              <w:right w:val="single" w:sz="2" w:space="0" w:color="C6DACE"/>
            </w:tcBorders>
            <w:shd w:color="auto" w:fill="1E5631" w:val="clear"/>
            <w:vAlign w:val="center"/>
          </w:tcPr>
          <w:p>
            <w:pPr>
              <w:pStyle w:val="Normal"/>
              <w:spacing w:lineRule="auto" w:line="249" w:before="0" w:after="20"/>
              <w:rPr/>
            </w:pPr>
            <w:r>
              <w:rPr>
                <w:b/>
                <w:bCs/>
                <w:color w:val="FFFFFF"/>
                <w:sz w:val="20"/>
                <w:szCs w:val="20"/>
              </w:rPr>
              <w:t>Points</w:t>
            </w:r>
          </w:p>
        </w:tc>
        <w:tc>
          <w:tcPr>
            <w:tcW w:w="1401" w:type="dxa"/>
            <w:tcBorders>
              <w:top w:val="single" w:sz="2" w:space="0" w:color="C6DACE"/>
              <w:left w:val="single" w:sz="2" w:space="0" w:color="C6DACE"/>
              <w:bottom w:val="single" w:sz="2" w:space="0" w:color="C6DACE"/>
              <w:right w:val="single" w:sz="2" w:space="0" w:color="C6DACE"/>
            </w:tcBorders>
            <w:shd w:color="auto" w:fill="1E5631" w:val="clear"/>
            <w:vAlign w:val="center"/>
          </w:tcPr>
          <w:p>
            <w:pPr>
              <w:pStyle w:val="Normal"/>
              <w:spacing w:lineRule="auto" w:line="249" w:before="0" w:after="20"/>
              <w:rPr/>
            </w:pPr>
            <w:r>
              <w:rPr>
                <w:b/>
                <w:bCs/>
                <w:color w:val="FFFFFF"/>
                <w:sz w:val="20"/>
                <w:szCs w:val="20"/>
              </w:rPr>
              <w:t>Weight</w:t>
            </w:r>
          </w:p>
        </w:tc>
      </w:tr>
      <w:tr>
        <w:trPr/>
        <w:tc>
          <w:tcPr>
            <w:tcW w:w="6560"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Relevant essential-facility / public-safety experience</w:t>
            </w:r>
          </w:p>
        </w:tc>
        <w:tc>
          <w:tcPr>
            <w:tcW w:w="139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jc w:val="center"/>
              <w:rPr/>
            </w:pPr>
            <w:r>
              <w:rPr>
                <w:sz w:val="20"/>
                <w:szCs w:val="20"/>
              </w:rPr>
              <w:t>30</w:t>
            </w:r>
          </w:p>
        </w:tc>
        <w:tc>
          <w:tcPr>
            <w:tcW w:w="1401"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jc w:val="center"/>
              <w:rPr/>
            </w:pPr>
            <w:r>
              <w:rPr>
                <w:sz w:val="20"/>
                <w:szCs w:val="20"/>
              </w:rPr>
              <w:t>30%</w:t>
            </w:r>
          </w:p>
        </w:tc>
      </w:tr>
      <w:tr>
        <w:trPr/>
        <w:tc>
          <w:tcPr>
            <w:tcW w:w="6560"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Qualifications of the proposed team (PM &amp; discipline leads)</w:t>
            </w:r>
          </w:p>
        </w:tc>
        <w:tc>
          <w:tcPr>
            <w:tcW w:w="139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jc w:val="center"/>
              <w:rPr/>
            </w:pPr>
            <w:r>
              <w:rPr>
                <w:sz w:val="20"/>
                <w:szCs w:val="20"/>
              </w:rPr>
              <w:t>25</w:t>
            </w:r>
          </w:p>
        </w:tc>
        <w:tc>
          <w:tcPr>
            <w:tcW w:w="1401"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jc w:val="center"/>
              <w:rPr/>
            </w:pPr>
            <w:r>
              <w:rPr>
                <w:sz w:val="20"/>
                <w:szCs w:val="20"/>
              </w:rPr>
              <w:t>25%</w:t>
            </w:r>
          </w:p>
        </w:tc>
      </w:tr>
      <w:tr>
        <w:trPr/>
        <w:tc>
          <w:tcPr>
            <w:tcW w:w="6560"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Project approach, QA/QC, and schedule control</w:t>
            </w:r>
          </w:p>
        </w:tc>
        <w:tc>
          <w:tcPr>
            <w:tcW w:w="139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jc w:val="center"/>
              <w:rPr/>
            </w:pPr>
            <w:r>
              <w:rPr>
                <w:sz w:val="20"/>
                <w:szCs w:val="20"/>
              </w:rPr>
              <w:t>20</w:t>
            </w:r>
          </w:p>
        </w:tc>
        <w:tc>
          <w:tcPr>
            <w:tcW w:w="1401"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jc w:val="center"/>
              <w:rPr/>
            </w:pPr>
            <w:r>
              <w:rPr>
                <w:sz w:val="20"/>
                <w:szCs w:val="20"/>
              </w:rPr>
              <w:t>20%</w:t>
            </w:r>
          </w:p>
        </w:tc>
      </w:tr>
      <w:tr>
        <w:trPr/>
        <w:tc>
          <w:tcPr>
            <w:tcW w:w="6560"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Fee proposal and overall value</w:t>
            </w:r>
          </w:p>
        </w:tc>
        <w:tc>
          <w:tcPr>
            <w:tcW w:w="139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jc w:val="center"/>
              <w:rPr/>
            </w:pPr>
            <w:r>
              <w:rPr>
                <w:sz w:val="20"/>
                <w:szCs w:val="20"/>
              </w:rPr>
              <w:t>15</w:t>
            </w:r>
          </w:p>
        </w:tc>
        <w:tc>
          <w:tcPr>
            <w:tcW w:w="1401"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jc w:val="center"/>
              <w:rPr/>
            </w:pPr>
            <w:r>
              <w:rPr>
                <w:sz w:val="20"/>
                <w:szCs w:val="20"/>
              </w:rPr>
              <w:t>15%</w:t>
            </w:r>
          </w:p>
        </w:tc>
      </w:tr>
      <w:tr>
        <w:trPr/>
        <w:tc>
          <w:tcPr>
            <w:tcW w:w="6560"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Local presence and responsiveness</w:t>
            </w:r>
          </w:p>
        </w:tc>
        <w:tc>
          <w:tcPr>
            <w:tcW w:w="139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jc w:val="center"/>
              <w:rPr/>
            </w:pPr>
            <w:r>
              <w:rPr>
                <w:sz w:val="20"/>
                <w:szCs w:val="20"/>
              </w:rPr>
              <w:t>10</w:t>
            </w:r>
          </w:p>
        </w:tc>
        <w:tc>
          <w:tcPr>
            <w:tcW w:w="1401"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jc w:val="center"/>
              <w:rPr/>
            </w:pPr>
            <w:r>
              <w:rPr>
                <w:sz w:val="20"/>
                <w:szCs w:val="20"/>
              </w:rPr>
              <w:t>10%</w:t>
            </w:r>
          </w:p>
        </w:tc>
      </w:tr>
      <w:tr>
        <w:trPr/>
        <w:tc>
          <w:tcPr>
            <w:tcW w:w="6560" w:type="dxa"/>
            <w:tcBorders>
              <w:top w:val="single" w:sz="2" w:space="0" w:color="C6DACE"/>
              <w:left w:val="single" w:sz="2" w:space="0" w:color="C6DACE"/>
              <w:bottom w:val="single" w:sz="2" w:space="0" w:color="C6DACE"/>
              <w:right w:val="single" w:sz="2" w:space="0" w:color="C6DACE"/>
            </w:tcBorders>
            <w:shd w:color="auto" w:fill="1E5631" w:val="clear"/>
            <w:vAlign w:val="center"/>
          </w:tcPr>
          <w:p>
            <w:pPr>
              <w:pStyle w:val="Normal"/>
              <w:spacing w:lineRule="auto" w:line="249" w:before="0" w:after="20"/>
              <w:rPr/>
            </w:pPr>
            <w:r>
              <w:rPr>
                <w:b/>
                <w:bCs/>
                <w:color w:val="FFFFFF"/>
                <w:sz w:val="20"/>
                <w:szCs w:val="20"/>
              </w:rPr>
              <w:t>Total</w:t>
            </w:r>
          </w:p>
        </w:tc>
        <w:tc>
          <w:tcPr>
            <w:tcW w:w="1399" w:type="dxa"/>
            <w:tcBorders>
              <w:top w:val="single" w:sz="2" w:space="0" w:color="C6DACE"/>
              <w:left w:val="single" w:sz="2" w:space="0" w:color="C6DACE"/>
              <w:bottom w:val="single" w:sz="2" w:space="0" w:color="C6DACE"/>
              <w:right w:val="single" w:sz="2" w:space="0" w:color="C6DACE"/>
            </w:tcBorders>
            <w:shd w:color="auto" w:fill="1E5631" w:val="clear"/>
            <w:vAlign w:val="center"/>
          </w:tcPr>
          <w:p>
            <w:pPr>
              <w:pStyle w:val="Normal"/>
              <w:spacing w:lineRule="auto" w:line="249" w:before="0" w:after="20"/>
              <w:jc w:val="center"/>
              <w:rPr/>
            </w:pPr>
            <w:r>
              <w:rPr>
                <w:b/>
                <w:bCs/>
                <w:color w:val="FFFFFF"/>
                <w:sz w:val="20"/>
                <w:szCs w:val="20"/>
              </w:rPr>
              <w:t>100</w:t>
            </w:r>
          </w:p>
        </w:tc>
        <w:tc>
          <w:tcPr>
            <w:tcW w:w="1401" w:type="dxa"/>
            <w:tcBorders>
              <w:top w:val="single" w:sz="2" w:space="0" w:color="C6DACE"/>
              <w:left w:val="single" w:sz="2" w:space="0" w:color="C6DACE"/>
              <w:bottom w:val="single" w:sz="2" w:space="0" w:color="C6DACE"/>
              <w:right w:val="single" w:sz="2" w:space="0" w:color="C6DACE"/>
            </w:tcBorders>
            <w:shd w:color="auto" w:fill="1E5631" w:val="clear"/>
            <w:vAlign w:val="center"/>
          </w:tcPr>
          <w:p>
            <w:pPr>
              <w:pStyle w:val="Normal"/>
              <w:spacing w:lineRule="auto" w:line="249" w:before="0" w:after="20"/>
              <w:jc w:val="center"/>
              <w:rPr/>
            </w:pPr>
            <w:r>
              <w:rPr>
                <w:b/>
                <w:bCs/>
                <w:color w:val="FFFFFF"/>
                <w:sz w:val="20"/>
                <w:szCs w:val="20"/>
              </w:rPr>
              <w:t>100%</w:t>
            </w:r>
          </w:p>
        </w:tc>
      </w:tr>
    </w:tbl>
    <w:p>
      <w:pPr>
        <w:pStyle w:val="Heading1"/>
        <w:rPr/>
      </w:pPr>
      <w:r>
        <w:rPr/>
        <w:t>5.  Procurement &amp; Project Schedule</w:t>
      </w:r>
    </w:p>
    <w:tbl>
      <w:tblPr>
        <w:tblW w:w="9360" w:type="dxa"/>
        <w:jc w:val="left"/>
        <w:tblInd w:w="0" w:type="dxa"/>
        <w:tblLayout w:type="fixed"/>
        <w:tblCellMar>
          <w:top w:w="60" w:type="dxa"/>
          <w:left w:w="110" w:type="dxa"/>
          <w:bottom w:w="60" w:type="dxa"/>
          <w:right w:w="110" w:type="dxa"/>
        </w:tblCellMar>
        <w:tblLook w:val="0000" w:noHBand="0" w:noVBand="0" w:firstColumn="0" w:lastRow="0" w:lastColumn="0" w:firstRow="0"/>
      </w:tblPr>
      <w:tblGrid>
        <w:gridCol w:w="6360"/>
        <w:gridCol w:w="2999"/>
      </w:tblGrid>
      <w:tr>
        <w:trPr>
          <w:tblHeader w:val="true"/>
        </w:trPr>
        <w:tc>
          <w:tcPr>
            <w:tcW w:w="6360" w:type="dxa"/>
            <w:tcBorders>
              <w:top w:val="single" w:sz="2" w:space="0" w:color="C6DACE"/>
              <w:left w:val="single" w:sz="2" w:space="0" w:color="C6DACE"/>
              <w:bottom w:val="single" w:sz="2" w:space="0" w:color="C6DACE"/>
              <w:right w:val="single" w:sz="2" w:space="0" w:color="C6DACE"/>
            </w:tcBorders>
            <w:shd w:color="auto" w:fill="1E5631" w:val="clear"/>
            <w:vAlign w:val="center"/>
          </w:tcPr>
          <w:p>
            <w:pPr>
              <w:pStyle w:val="Normal"/>
              <w:spacing w:lineRule="auto" w:line="249" w:before="0" w:after="20"/>
              <w:rPr/>
            </w:pPr>
            <w:r>
              <w:rPr>
                <w:b/>
                <w:bCs/>
                <w:color w:val="FFFFFF"/>
                <w:sz w:val="20"/>
                <w:szCs w:val="20"/>
              </w:rPr>
              <w:t>Milestone</w:t>
            </w:r>
          </w:p>
        </w:tc>
        <w:tc>
          <w:tcPr>
            <w:tcW w:w="2999" w:type="dxa"/>
            <w:tcBorders>
              <w:top w:val="single" w:sz="2" w:space="0" w:color="C6DACE"/>
              <w:left w:val="single" w:sz="2" w:space="0" w:color="C6DACE"/>
              <w:bottom w:val="single" w:sz="2" w:space="0" w:color="C6DACE"/>
              <w:right w:val="single" w:sz="2" w:space="0" w:color="C6DACE"/>
            </w:tcBorders>
            <w:shd w:color="auto" w:fill="1E5631" w:val="clear"/>
            <w:vAlign w:val="center"/>
          </w:tcPr>
          <w:p>
            <w:pPr>
              <w:pStyle w:val="Normal"/>
              <w:spacing w:lineRule="auto" w:line="249" w:before="0" w:after="20"/>
              <w:rPr/>
            </w:pPr>
            <w:r>
              <w:rPr>
                <w:b/>
                <w:bCs/>
                <w:color w:val="FFFFFF"/>
                <w:sz w:val="20"/>
                <w:szCs w:val="20"/>
              </w:rPr>
              <w:t>Target Date</w:t>
            </w:r>
          </w:p>
        </w:tc>
      </w:tr>
      <w:tr>
        <w:trPr/>
        <w:tc>
          <w:tcPr>
            <w:tcW w:w="6360"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RFP issued</w:t>
            </w:r>
          </w:p>
        </w:tc>
        <w:tc>
          <w:tcPr>
            <w:tcW w:w="299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May 18, 2026</w:t>
            </w:r>
          </w:p>
        </w:tc>
      </w:tr>
      <w:tr>
        <w:trPr/>
        <w:tc>
          <w:tcPr>
            <w:tcW w:w="6360"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Deadline for written questions</w:t>
            </w:r>
          </w:p>
        </w:tc>
        <w:tc>
          <w:tcPr>
            <w:tcW w:w="299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June 5, 2026</w:t>
            </w:r>
          </w:p>
        </w:tc>
      </w:tr>
      <w:tr>
        <w:trPr/>
        <w:tc>
          <w:tcPr>
            <w:tcW w:w="6360"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Proposals due</w:t>
            </w:r>
          </w:p>
        </w:tc>
        <w:tc>
          <w:tcPr>
            <w:tcW w:w="299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June 19, 2026</w:t>
            </w:r>
          </w:p>
        </w:tc>
      </w:tr>
      <w:tr>
        <w:trPr/>
        <w:tc>
          <w:tcPr>
            <w:tcW w:w="6360"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Finalist interviews (if held)</w:t>
            </w:r>
          </w:p>
        </w:tc>
        <w:tc>
          <w:tcPr>
            <w:tcW w:w="299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week of June 29, 2026</w:t>
            </w:r>
          </w:p>
        </w:tc>
      </w:tr>
      <w:tr>
        <w:trPr/>
        <w:tc>
          <w:tcPr>
            <w:tcW w:w="6360"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Anticipated selection / notice of award</w:t>
            </w:r>
          </w:p>
        </w:tc>
        <w:tc>
          <w:tcPr>
            <w:tcW w:w="299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July 13, 2026</w:t>
            </w:r>
          </w:p>
        </w:tc>
      </w:tr>
      <w:tr>
        <w:trPr/>
        <w:tc>
          <w:tcPr>
            <w:tcW w:w="6360"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Contract execution / Notice to Proceed</w:t>
            </w:r>
          </w:p>
        </w:tc>
        <w:tc>
          <w:tcPr>
            <w:tcW w:w="299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July 27, 2026</w:t>
            </w:r>
          </w:p>
        </w:tc>
      </w:tr>
      <w:tr>
        <w:trPr/>
        <w:tc>
          <w:tcPr>
            <w:tcW w:w="6360"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Design start (kickoff)</w:t>
            </w:r>
          </w:p>
        </w:tc>
        <w:tc>
          <w:tcPr>
            <w:tcW w:w="299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August 10, 2026</w:t>
            </w:r>
          </w:p>
        </w:tc>
      </w:tr>
      <w:tr>
        <w:trPr/>
        <w:tc>
          <w:tcPr>
            <w:tcW w:w="6360"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Design complete / permit &amp; bid</w:t>
            </w:r>
          </w:p>
        </w:tc>
        <w:tc>
          <w:tcPr>
            <w:tcW w:w="299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August 5, 2027</w:t>
            </w:r>
          </w:p>
        </w:tc>
      </w:tr>
      <w:tr>
        <w:trPr/>
        <w:tc>
          <w:tcPr>
            <w:tcW w:w="6360" w:type="dxa"/>
            <w:tcBorders>
              <w:top w:val="single" w:sz="2" w:space="0" w:color="C6DACE"/>
              <w:left w:val="single" w:sz="2" w:space="0" w:color="C6DACE"/>
              <w:bottom w:val="single" w:sz="2" w:space="0" w:color="C6DACE"/>
              <w:right w:val="single" w:sz="2" w:space="0" w:color="C6DACE"/>
            </w:tcBorders>
            <w:shd w:color="auto" w:fill="E9F3EC" w:val="clear"/>
            <w:vAlign w:val="center"/>
          </w:tcPr>
          <w:p>
            <w:pPr>
              <w:pStyle w:val="Normal"/>
              <w:spacing w:lineRule="auto" w:line="249" w:before="0" w:after="20"/>
              <w:rPr/>
            </w:pPr>
            <w:r>
              <w:rPr>
                <w:b/>
                <w:bCs/>
                <w:sz w:val="20"/>
                <w:szCs w:val="20"/>
              </w:rPr>
              <w:t>Construction start (target)</w:t>
            </w:r>
          </w:p>
        </w:tc>
        <w:tc>
          <w:tcPr>
            <w:tcW w:w="2999" w:type="dxa"/>
            <w:tcBorders>
              <w:top w:val="single" w:sz="2" w:space="0" w:color="C6DACE"/>
              <w:left w:val="single" w:sz="2" w:space="0" w:color="C6DACE"/>
              <w:bottom w:val="single" w:sz="2" w:space="0" w:color="C6DACE"/>
              <w:right w:val="single" w:sz="2" w:space="0" w:color="C6DACE"/>
            </w:tcBorders>
            <w:vAlign w:val="center"/>
          </w:tcPr>
          <w:p>
            <w:pPr>
              <w:pStyle w:val="Normal"/>
              <w:spacing w:lineRule="auto" w:line="249" w:before="0" w:after="20"/>
              <w:rPr/>
            </w:pPr>
            <w:r>
              <w:rPr>
                <w:sz w:val="20"/>
                <w:szCs w:val="20"/>
              </w:rPr>
              <w:t>September 2027</w:t>
            </w:r>
          </w:p>
        </w:tc>
      </w:tr>
    </w:tbl>
    <w:p>
      <w:pPr>
        <w:pStyle w:val="Heading1"/>
        <w:rPr/>
      </w:pPr>
      <w:r>
        <w:rPr/>
        <w:t>6.  General Conditions</w:t>
      </w:r>
    </w:p>
    <w:p>
      <w:pPr>
        <w:pStyle w:val="ListParagraph"/>
        <w:numPr>
          <w:ilvl w:val="0"/>
          <w:numId w:val="1"/>
        </w:numPr>
        <w:spacing w:lineRule="auto" w:line="261" w:before="0" w:after="70"/>
        <w:rPr/>
      </w:pPr>
      <w:r>
        <w:rPr/>
        <w:t>The City reserves the right to reject any or all proposals, to waive informalities, and to award in the City's best interest.</w:t>
      </w:r>
    </w:p>
    <w:p>
      <w:pPr>
        <w:pStyle w:val="ListParagraph"/>
        <w:numPr>
          <w:ilvl w:val="0"/>
          <w:numId w:val="1"/>
        </w:numPr>
        <w:spacing w:lineRule="auto" w:line="261" w:before="0" w:after="70"/>
        <w:rPr/>
      </w:pPr>
      <w:r>
        <w:rPr/>
        <w:t>Costs of proposal preparation are the sole responsibility of the respondent.</w:t>
      </w:r>
    </w:p>
    <w:p>
      <w:pPr>
        <w:pStyle w:val="ListParagraph"/>
        <w:numPr>
          <w:ilvl w:val="0"/>
          <w:numId w:val="1"/>
        </w:numPr>
        <w:spacing w:lineRule="auto" w:line="261" w:before="0" w:after="70"/>
        <w:rPr/>
      </w:pPr>
      <w:r>
        <w:rPr/>
        <w:t>The selected firm shall carry professional liability insurance of not less than $5,000,000 per claim / $5,000,000 aggregate.</w:t>
      </w:r>
    </w:p>
    <w:p>
      <w:pPr>
        <w:pStyle w:val="ListParagraph"/>
        <w:numPr>
          <w:ilvl w:val="0"/>
          <w:numId w:val="1"/>
        </w:numPr>
        <w:spacing w:lineRule="auto" w:line="261" w:before="0" w:after="70"/>
        <w:rPr/>
      </w:pPr>
      <w:r>
        <w:rPr/>
        <w:t>This RFP does not commit the City to award a contract or to pay any costs incurred in the preparation of a proposal.</w:t>
      </w:r>
    </w:p>
    <w:p>
      <w:pPr>
        <w:pStyle w:val="Normal"/>
        <w:rPr/>
      </w:pPr>
      <w:r>
        <w:rPr/>
      </w:r>
      <w:r>
        <w:br w:type="page"/>
      </w:r>
    </w:p>
    <w:p>
      <w:pPr>
        <w:pStyle w:val="Heading1"/>
        <w:spacing w:before="0" w:after="120"/>
        <w:rPr/>
      </w:pPr>
      <w:r>
        <w:rPr/>
        <w:t>Appendix A  —  Conceptual Site Plan</w:t>
      </w:r>
    </w:p>
    <w:p>
      <w:pPr>
        <w:pStyle w:val="Normal"/>
        <w:spacing w:lineRule="auto" w:line="264" w:before="0" w:after="120"/>
        <w:rPr/>
      </w:pPr>
      <w:r>
        <w:rPr/>
        <w:t>The following illustrative site plan accompanies this RFP to convey the intended site organization, security zoning, and adjacencies. It is conceptual and is provided for respondent orientation only; it is not a survey and is not for construction. Respondents are expected to validate and develop the site design during the design phases.</w:t>
      </w:r>
    </w:p>
    <w:p>
      <w:pPr>
        <w:pStyle w:val="Normal"/>
        <w:spacing w:before="120" w:after="0"/>
        <w:jc w:val="center"/>
        <w:rPr/>
      </w:pPr>
      <w:r>
        <w:rPr/>
        <w:drawing>
          <wp:inline distT="0" distB="0" distL="0" distR="0">
            <wp:extent cx="6096000" cy="4638675"/>
            <wp:effectExtent l="0" t="0" r="0" b="0"/>
            <wp:docPr id="2" name="SitePlan" descr="Conceptual Site Plan&#10;Oakhaven Public Safety Campus conceptual site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tePlan" descr="Conceptual Site Plan&#10;Oakhaven Public Safety Campus conceptual site plan"/>
                    <pic:cNvPicPr>
                      <a:picLocks noChangeAspect="1" noChangeArrowheads="1"/>
                    </pic:cNvPicPr>
                  </pic:nvPicPr>
                  <pic:blipFill>
                    <a:blip r:embed="rId3"/>
                    <a:stretch>
                      <a:fillRect/>
                    </a:stretch>
                  </pic:blipFill>
                  <pic:spPr bwMode="auto">
                    <a:xfrm>
                      <a:off x="0" y="0"/>
                      <a:ext cx="6096000" cy="4638675"/>
                    </a:xfrm>
                    <a:prstGeom prst="rect">
                      <a:avLst/>
                    </a:prstGeom>
                  </pic:spPr>
                </pic:pic>
              </a:graphicData>
            </a:graphic>
          </wp:inline>
        </w:drawing>
      </w:r>
    </w:p>
    <w:p>
      <w:pPr>
        <w:pStyle w:val="Normal"/>
        <w:jc w:val="center"/>
        <w:rPr/>
      </w:pPr>
      <w:r>
        <w:rPr>
          <w:i/>
          <w:iCs/>
          <w:color w:val="5B6B62"/>
          <w:sz w:val="16"/>
          <w:szCs w:val="16"/>
        </w:rPr>
        <w:t>Figure A-1.  Oakhaven Public Safety Campus — Conceptual Site Plan (illustrative, not to scale).</w:t>
      </w:r>
    </w:p>
    <w:sectPr>
      <w:headerReference w:type="even" r:id="rId4"/>
      <w:headerReference w:type="default" r:id="rId5"/>
      <w:headerReference w:type="first" r:id="rId6"/>
      <w:footerReference w:type="even" r:id="rId7"/>
      <w:footerReference w:type="default" r:id="rId8"/>
      <w:footerReference w:type="first" r:id="rId9"/>
      <w:type w:val="nextPage"/>
      <w:pgSz w:w="12240" w:h="15840"/>
      <w:pgMar w:left="1440" w:right="1440" w:gutter="0" w:header="708" w:top="1440" w:footer="708" w:bottom="1260"/>
      <w:pgNumType w:fmt="decimal"/>
      <w:formProt w:val="false"/>
      <w:textDirection w:val="lrTb"/>
      <w:docGrid w:type="default" w:linePitch="360" w:charSpace="614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4" w:color="C6DACE"/>
      </w:pBdr>
      <w:tabs>
        <w:tab w:val="clear" w:pos="720"/>
        <w:tab w:val="right" w:pos="9360" w:leader="none"/>
      </w:tabs>
      <w:rPr/>
    </w:pPr>
    <w:r>
      <w:rPr>
        <w:color w:val="5B6B62"/>
        <w:sz w:val="15"/>
        <w:szCs w:val="15"/>
      </w:rPr>
      <w:t>City of Oakhaven · RFP No. OEP-2026-004 · A/E Design Services</w:t>
      <w:tab/>
      <w:t xml:space="preserve">Page </w:t>
    </w:r>
    <w:r>
      <w:rPr>
        <w:color w:val="5B6B62"/>
        <w:sz w:val="15"/>
        <w:szCs w:val="15"/>
      </w:rPr>
      <w:fldChar w:fldCharType="begin"/>
    </w:r>
    <w:r>
      <w:rPr>
        <w:sz w:val="15"/>
        <w:szCs w:val="15"/>
        <w:color w:val="5B6B62"/>
      </w:rPr>
      <w:instrText xml:space="preserve"> PAGE </w:instrText>
    </w:r>
    <w:r>
      <w:rPr>
        <w:sz w:val="15"/>
        <w:szCs w:val="15"/>
        <w:color w:val="5B6B62"/>
      </w:rPr>
      <w:fldChar w:fldCharType="separate"/>
    </w:r>
    <w:r>
      <w:rPr>
        <w:sz w:val="15"/>
        <w:szCs w:val="15"/>
        <w:color w:val="5B6B62"/>
      </w:rPr>
      <w:t>8</w:t>
    </w:r>
    <w:r>
      <w:rPr>
        <w:sz w:val="15"/>
        <w:szCs w:val="15"/>
        <w:color w:val="5B6B62"/>
      </w:rPr>
      <w:fldChar w:fldCharType="end"/>
    </w:r>
    <w:r>
      <w:rPr>
        <w:color w:val="5B6B62"/>
        <w:sz w:val="15"/>
        <w:szCs w:val="15"/>
      </w:rPr>
      <w:t xml:space="preserve"> of </w:t>
    </w:r>
    <w:r>
      <w:rPr>
        <w:color w:val="5B6B62"/>
        <w:sz w:val="15"/>
        <w:szCs w:val="15"/>
      </w:rPr>
      <w:fldChar w:fldCharType="begin"/>
    </w:r>
    <w:r>
      <w:rPr>
        <w:sz w:val="15"/>
        <w:szCs w:val="15"/>
        <w:color w:val="5B6B62"/>
      </w:rPr>
      <w:instrText xml:space="preserve"> NUMPAGES </w:instrText>
    </w:r>
    <w:r>
      <w:rPr>
        <w:sz w:val="15"/>
        <w:szCs w:val="15"/>
        <w:color w:val="5B6B62"/>
      </w:rPr>
      <w:fldChar w:fldCharType="separate"/>
    </w:r>
    <w:r>
      <w:rPr>
        <w:sz w:val="15"/>
        <w:szCs w:val="15"/>
        <w:color w:val="5B6B62"/>
      </w:rPr>
      <w:t>8</w:t>
    </w:r>
    <w:r>
      <w:rPr>
        <w:sz w:val="15"/>
        <w:szCs w:val="15"/>
        <w:color w:val="5B6B6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4" w:color="C6DACE"/>
      </w:pBdr>
      <w:tabs>
        <w:tab w:val="clear" w:pos="720"/>
        <w:tab w:val="right" w:pos="9360" w:leader="none"/>
      </w:tabs>
      <w:rPr/>
    </w:pPr>
    <w:r>
      <w:rPr>
        <w:color w:val="5B6B62"/>
        <w:sz w:val="15"/>
        <w:szCs w:val="15"/>
      </w:rPr>
      <w:t>City of Oakhaven · RFP No. OEP-2026-004 · A/E Design Services</w:t>
      <w:tab/>
      <w:t xml:space="preserve">Page </w:t>
    </w:r>
    <w:r>
      <w:rPr>
        <w:color w:val="5B6B62"/>
        <w:sz w:val="15"/>
        <w:szCs w:val="15"/>
      </w:rPr>
      <w:fldChar w:fldCharType="begin"/>
    </w:r>
    <w:r>
      <w:rPr>
        <w:sz w:val="15"/>
        <w:szCs w:val="15"/>
        <w:color w:val="5B6B62"/>
      </w:rPr>
      <w:instrText xml:space="preserve"> PAGE </w:instrText>
    </w:r>
    <w:r>
      <w:rPr>
        <w:sz w:val="15"/>
        <w:szCs w:val="15"/>
        <w:color w:val="5B6B62"/>
      </w:rPr>
      <w:fldChar w:fldCharType="separate"/>
    </w:r>
    <w:r>
      <w:rPr>
        <w:sz w:val="15"/>
        <w:szCs w:val="15"/>
        <w:color w:val="5B6B62"/>
      </w:rPr>
      <w:t>8</w:t>
    </w:r>
    <w:r>
      <w:rPr>
        <w:sz w:val="15"/>
        <w:szCs w:val="15"/>
        <w:color w:val="5B6B62"/>
      </w:rPr>
      <w:fldChar w:fldCharType="end"/>
    </w:r>
    <w:r>
      <w:rPr>
        <w:color w:val="5B6B62"/>
        <w:sz w:val="15"/>
        <w:szCs w:val="15"/>
      </w:rPr>
      <w:t xml:space="preserve"> of </w:t>
    </w:r>
    <w:r>
      <w:rPr>
        <w:color w:val="5B6B62"/>
        <w:sz w:val="15"/>
        <w:szCs w:val="15"/>
      </w:rPr>
      <w:fldChar w:fldCharType="begin"/>
    </w:r>
    <w:r>
      <w:rPr>
        <w:sz w:val="15"/>
        <w:szCs w:val="15"/>
        <w:color w:val="5B6B62"/>
      </w:rPr>
      <w:instrText xml:space="preserve"> NUMPAGES </w:instrText>
    </w:r>
    <w:r>
      <w:rPr>
        <w:sz w:val="15"/>
        <w:szCs w:val="15"/>
        <w:color w:val="5B6B62"/>
      </w:rPr>
      <w:fldChar w:fldCharType="separate"/>
    </w:r>
    <w:r>
      <w:rPr>
        <w:sz w:val="15"/>
        <w:szCs w:val="15"/>
        <w:color w:val="5B6B62"/>
      </w:rPr>
      <w:t>8</w:t>
    </w:r>
    <w:r>
      <w:rPr>
        <w:sz w:val="15"/>
        <w:szCs w:val="15"/>
        <w:color w:val="5B6B62"/>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6" w:space="4" w:color="2E7D46"/>
      </w:pBdr>
      <w:tabs>
        <w:tab w:val="clear" w:pos="720"/>
        <w:tab w:val="right" w:pos="9360" w:leader="none"/>
      </w:tabs>
      <w:spacing w:before="0" w:after="40"/>
      <w:rPr/>
    </w:pPr>
    <w:r>
      <w:rPr/>
      <w:drawing>
        <wp:inline distT="0" distB="0" distL="0" distR="0">
          <wp:extent cx="1428750" cy="295275"/>
          <wp:effectExtent l="0" t="0" r="0" b="0"/>
          <wp:docPr id="3" name="GraceLogo" descr="Grace Design Studios&#10;Grace Design Studio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ceLogo" descr="Grace Design Studios&#10;Grace Design Studios logo"/>
                  <pic:cNvPicPr>
                    <a:picLocks noChangeAspect="1" noChangeArrowheads="1"/>
                  </pic:cNvPicPr>
                </pic:nvPicPr>
                <pic:blipFill>
                  <a:blip r:embed="rId1"/>
                  <a:stretch>
                    <a:fillRect/>
                  </a:stretch>
                </pic:blipFill>
                <pic:spPr bwMode="auto">
                  <a:xfrm>
                    <a:off x="0" y="0"/>
                    <a:ext cx="1428750" cy="295275"/>
                  </a:xfrm>
                  <a:prstGeom prst="rect">
                    <a:avLst/>
                  </a:prstGeom>
                </pic:spPr>
              </pic:pic>
            </a:graphicData>
          </a:graphic>
        </wp:inline>
      </w:drawing>
    </w:r>
    <w:r>
      <w:rPr>
        <w:color w:val="5B6B62"/>
        <w:sz w:val="16"/>
        <w:szCs w:val="16"/>
      </w:rPr>
      <w:tab/>
      <w:t>RFP · A/E Design Services</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6" w:space="4" w:color="2E7D46"/>
      </w:pBdr>
      <w:tabs>
        <w:tab w:val="clear" w:pos="720"/>
        <w:tab w:val="right" w:pos="9360" w:leader="none"/>
      </w:tabs>
      <w:spacing w:before="0" w:after="40"/>
      <w:rPr/>
    </w:pPr>
    <w:r>
      <w:rPr/>
      <w:drawing>
        <wp:inline distT="0" distB="0" distL="0" distR="0">
          <wp:extent cx="1428750" cy="295275"/>
          <wp:effectExtent l="0" t="0" r="0" b="0"/>
          <wp:docPr id="4" name="GraceLogo" descr="Grace Design Studios&#10;Grace Design Studio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ceLogo" descr="Grace Design Studios&#10;Grace Design Studios logo"/>
                  <pic:cNvPicPr>
                    <a:picLocks noChangeAspect="1" noChangeArrowheads="1"/>
                  </pic:cNvPicPr>
                </pic:nvPicPr>
                <pic:blipFill>
                  <a:blip r:embed="rId1"/>
                  <a:stretch>
                    <a:fillRect/>
                  </a:stretch>
                </pic:blipFill>
                <pic:spPr bwMode="auto">
                  <a:xfrm>
                    <a:off x="0" y="0"/>
                    <a:ext cx="1428750" cy="295275"/>
                  </a:xfrm>
                  <a:prstGeom prst="rect">
                    <a:avLst/>
                  </a:prstGeom>
                </pic:spPr>
              </pic:pic>
            </a:graphicData>
          </a:graphic>
        </wp:inline>
      </w:drawing>
    </w:r>
    <w:r>
      <w:rPr>
        <w:color w:val="5B6B62"/>
        <w:sz w:val="16"/>
        <w:szCs w:val="16"/>
      </w:rPr>
      <w:tab/>
      <w:t>RFP · A/E Design Services</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460" w:hanging="250"/>
      </w:pPr>
      <w:rPr>
        <w:rFonts w:ascii="Symbol" w:hAnsi="Symbol" w:cs="Symbol" w:hint="default"/>
      </w:rPr>
    </w:lvl>
    <w:lvl w:ilvl="1">
      <w:start w:val="1"/>
      <w:numFmt w:val="bullet"/>
      <w:lvlText w:val=""/>
      <w:lvlJc w:val="left"/>
      <w:pPr>
        <w:tabs>
          <w:tab w:val="num" w:pos="0"/>
        </w:tabs>
        <w:ind w:left="920" w:hanging="250"/>
      </w:pPr>
      <w:rPr>
        <w:rFonts w:ascii="Symbol" w:hAnsi="Symbol" w:cs="Symbol" w:hint="default"/>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2">
    <w:lvl w:ilvl="0">
      <w:start w:val="1"/>
      <w:numFmt w:val="decimal"/>
      <w:lvlText w:val="%1."/>
      <w:lvlJc w:val="left"/>
      <w:pPr>
        <w:tabs>
          <w:tab w:val="num" w:pos="0"/>
        </w:tabs>
        <w:ind w:left="460" w:hanging="280"/>
      </w:pPr>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1"/>
    <w:lvlOverride w:ilvl="0">
      <w:startOverride w:val="1"/>
    </w:lvlOverride>
  </w:num>
  <w:num w:numId="5">
    <w:abstractNumId w:val="2"/>
    <w:lvlOverride w:ilvl="0">
      <w:startOverride w:val="1"/>
    </w:lvlOverride>
  </w:num>
</w:numbering>
</file>

<file path=word/settings.xml><?xml version="1.0" encoding="utf-8"?>
<w:settings xmlns:w="http://schemas.openxmlformats.org/wordprocessingml/2006/main">
  <w:zoom w:percent="173"/>
  <w:trackRevisions/>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color w:val="211F20"/>
        <w:sz w:val="21"/>
        <w:szCs w:val="21"/>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left"/>
    </w:pPr>
    <w:rPr>
      <w:rFonts w:ascii="Arial" w:hAnsi="Arial" w:eastAsia="Arial" w:cs="Arial"/>
      <w:color w:val="211F20"/>
      <w:kern w:val="0"/>
      <w:sz w:val="21"/>
      <w:szCs w:val="21"/>
      <w:lang w:val="en-US" w:eastAsia="en-US" w:bidi="ar-SA"/>
    </w:rPr>
  </w:style>
  <w:style w:type="paragraph" w:styleId="Heading1">
    <w:name w:val="Heading 1"/>
    <w:uiPriority w:val="9"/>
    <w:qFormat/>
    <w:pPr>
      <w:widowControl/>
      <w:pBdr>
        <w:bottom w:val="single" w:sz="8" w:space="4" w:color="2E7D46"/>
      </w:pBdr>
      <w:bidi w:val="0"/>
      <w:spacing w:before="260" w:after="120"/>
      <w:jc w:val="left"/>
      <w:outlineLvl w:val="0"/>
    </w:pPr>
    <w:rPr>
      <w:rFonts w:ascii="Arial" w:hAnsi="Arial" w:eastAsia="Arial" w:cs="Arial"/>
      <w:b/>
      <w:bCs/>
      <w:color w:val="1E5631"/>
      <w:kern w:val="0"/>
      <w:sz w:val="30"/>
      <w:szCs w:val="30"/>
      <w:lang w:val="en-US" w:eastAsia="en-US" w:bidi="ar-SA"/>
    </w:rPr>
  </w:style>
  <w:style w:type="paragraph" w:styleId="Heading2">
    <w:name w:val="Heading 2"/>
    <w:uiPriority w:val="9"/>
    <w:unhideWhenUsed/>
    <w:qFormat/>
    <w:pPr>
      <w:widowControl/>
      <w:bidi w:val="0"/>
      <w:spacing w:before="200" w:after="80"/>
      <w:jc w:val="left"/>
      <w:outlineLvl w:val="1"/>
    </w:pPr>
    <w:rPr>
      <w:rFonts w:ascii="Arial" w:hAnsi="Arial" w:eastAsia="Arial" w:cs="Arial"/>
      <w:b/>
      <w:bCs/>
      <w:color w:val="14401F"/>
      <w:kern w:val="0"/>
      <w:sz w:val="24"/>
      <w:szCs w:val="24"/>
      <w:lang w:val="en-US" w:eastAsia="en-US" w:bidi="ar-SA"/>
    </w:rPr>
  </w:style>
  <w:style w:type="paragraph" w:styleId="Heading3">
    <w:name w:val="Heading 3"/>
    <w:uiPriority w:val="9"/>
    <w:semiHidden/>
    <w:unhideWhenUsed/>
    <w:qFormat/>
    <w:pPr>
      <w:widowControl/>
      <w:bidi w:val="0"/>
      <w:spacing w:before="140" w:after="40"/>
      <w:jc w:val="left"/>
      <w:outlineLvl w:val="2"/>
    </w:pPr>
    <w:rPr>
      <w:rFonts w:ascii="Arial" w:hAnsi="Arial" w:eastAsia="Arial" w:cs="Arial"/>
      <w:b/>
      <w:bCs/>
      <w:color w:val="211F20"/>
      <w:kern w:val="0"/>
      <w:sz w:val="21"/>
      <w:szCs w:val="21"/>
      <w:lang w:val="en-US" w:eastAsia="en-US" w:bidi="ar-SA"/>
    </w:rPr>
  </w:style>
  <w:style w:type="paragraph" w:styleId="Heading4">
    <w:name w:val="Heading 4"/>
    <w:uiPriority w:val="9"/>
    <w:semiHidden/>
    <w:unhideWhenUsed/>
    <w:qFormat/>
    <w:pPr>
      <w:widowControl/>
      <w:bidi w:val="0"/>
      <w:spacing w:before="0" w:after="0"/>
      <w:jc w:val="left"/>
      <w:outlineLvl w:val="3"/>
    </w:pPr>
    <w:rPr>
      <w:rFonts w:ascii="Arial" w:hAnsi="Arial" w:eastAsia="Arial" w:cs="Arial"/>
      <w:i/>
      <w:iCs/>
      <w:color w:val="2E74B5"/>
      <w:kern w:val="0"/>
      <w:sz w:val="21"/>
      <w:szCs w:val="21"/>
      <w:lang w:val="en-US" w:eastAsia="en-US" w:bidi="ar-SA"/>
    </w:rPr>
  </w:style>
  <w:style w:type="paragraph" w:styleId="Heading5">
    <w:name w:val="Heading 5"/>
    <w:uiPriority w:val="9"/>
    <w:semiHidden/>
    <w:unhideWhenUsed/>
    <w:qFormat/>
    <w:pPr>
      <w:widowControl/>
      <w:bidi w:val="0"/>
      <w:spacing w:before="0" w:after="0"/>
      <w:jc w:val="left"/>
      <w:outlineLvl w:val="4"/>
    </w:pPr>
    <w:rPr>
      <w:rFonts w:ascii="Arial" w:hAnsi="Arial" w:eastAsia="Arial" w:cs="Arial"/>
      <w:color w:val="2E74B5"/>
      <w:kern w:val="0"/>
      <w:sz w:val="21"/>
      <w:szCs w:val="21"/>
      <w:lang w:val="en-US" w:eastAsia="en-US" w:bidi="ar-SA"/>
    </w:rPr>
  </w:style>
  <w:style w:type="paragraph" w:styleId="Heading6">
    <w:name w:val="Heading 6"/>
    <w:uiPriority w:val="9"/>
    <w:semiHidden/>
    <w:unhideWhenUsed/>
    <w:qFormat/>
    <w:pPr>
      <w:widowControl/>
      <w:bidi w:val="0"/>
      <w:spacing w:before="0" w:after="0"/>
      <w:jc w:val="left"/>
      <w:outlineLvl w:val="5"/>
    </w:pPr>
    <w:rPr>
      <w:rFonts w:ascii="Arial" w:hAnsi="Arial" w:eastAsia="Arial" w:cs="Arial"/>
      <w:color w:val="1F4D78"/>
      <w:kern w:val="0"/>
      <w:sz w:val="21"/>
      <w:szCs w:val="21"/>
      <w:lang w:val="en-US" w:eastAsia="en-US" w:bidi="ar-SA"/>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customStyle="1">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customStyle="1">
    <w:name w:val="Endnote Text Char"/>
    <w:link w:val="EndnoteText"/>
    <w:uiPriority w:val="99"/>
    <w:semiHidden/>
    <w:unhideWhenUsed/>
    <w:qFormat/>
    <w:rPr>
      <w:sz w:val="20"/>
      <w:szCs w:val="20"/>
    </w:rPr>
  </w:style>
  <w:style w:type="character" w:styleId="annotationreference">
    <w:name w:val="annotation reference"/>
    <w:basedOn w:val="DefaultParagraphFont"/>
    <w:uiPriority w:val="99"/>
    <w:semiHidden/>
    <w:unhideWhenUsed/>
    <w:qFormat/>
    <w:rsid w:val="00a15f58"/>
    <w:rPr>
      <w:sz w:val="16"/>
      <w:szCs w:val="16"/>
    </w:rPr>
  </w:style>
  <w:style w:type="character" w:styleId="CommentTextChar" w:customStyle="1">
    <w:name w:val="Comment Text Char"/>
    <w:basedOn w:val="DefaultParagraphFont"/>
    <w:link w:val="AnnotationText"/>
    <w:uiPriority w:val="99"/>
    <w:qFormat/>
    <w:rsid w:val="00a15f58"/>
    <w:rPr>
      <w:sz w:val="20"/>
      <w:szCs w:val="20"/>
    </w:rPr>
  </w:style>
  <w:style w:type="character" w:styleId="CommentSubjectChar" w:customStyle="1">
    <w:name w:val="Comment Subject Char"/>
    <w:basedOn w:val="CommentTextChar"/>
    <w:link w:val="annotationsubject"/>
    <w:uiPriority w:val="99"/>
    <w:semiHidden/>
    <w:qFormat/>
    <w:rsid w:val="00a15f58"/>
    <w:rPr>
      <w:b/>
      <w:bCs/>
      <w:sz w:val="20"/>
      <w:szCs w:val="20"/>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uiPriority w:val="10"/>
    <w:qFormat/>
    <w:pPr>
      <w:widowControl/>
      <w:bidi w:val="0"/>
      <w:spacing w:before="0" w:after="0"/>
      <w:jc w:val="left"/>
    </w:pPr>
    <w:rPr>
      <w:rFonts w:ascii="Arial" w:hAnsi="Arial" w:eastAsia="Arial" w:cs="Arial"/>
      <w:color w:val="211F20"/>
      <w:kern w:val="0"/>
      <w:sz w:val="56"/>
      <w:szCs w:val="56"/>
      <w:lang w:val="en-US" w:eastAsia="en-US" w:bidi="ar-SA"/>
    </w:rPr>
  </w:style>
  <w:style w:type="paragraph" w:styleId="Strong1" w:customStyle="1">
    <w:name w:val="Strong1"/>
    <w:qFormat/>
    <w:pPr>
      <w:widowControl/>
      <w:bidi w:val="0"/>
      <w:spacing w:before="0" w:after="0"/>
      <w:jc w:val="left"/>
    </w:pPr>
    <w:rPr>
      <w:rFonts w:ascii="Arial" w:hAnsi="Arial" w:eastAsia="Arial" w:cs="Arial"/>
      <w:b/>
      <w:bCs/>
      <w:color w:val="211F20"/>
      <w:kern w:val="0"/>
      <w:sz w:val="21"/>
      <w:szCs w:val="21"/>
      <w:lang w:val="en-US" w:eastAsia="en-US" w:bidi="ar-SA"/>
    </w:rPr>
  </w:style>
  <w:style w:type="paragraph" w:styleId="ListParagraph">
    <w:name w:val="List Paragraph"/>
    <w:qFormat/>
    <w:pPr>
      <w:widowControl/>
      <w:bidi w:val="0"/>
      <w:spacing w:before="0" w:after="0"/>
      <w:jc w:val="left"/>
    </w:pPr>
    <w:rPr>
      <w:rFonts w:ascii="Arial" w:hAnsi="Arial" w:eastAsia="Arial" w:cs="Arial"/>
      <w:color w:val="211F20"/>
      <w:kern w:val="0"/>
      <w:sz w:val="21"/>
      <w:szCs w:val="21"/>
      <w:lang w:val="en-US" w:eastAsia="en-US" w:bidi="ar-SA"/>
    </w:rPr>
  </w:style>
  <w:style w:type="paragraph" w:styleId="FootnoteText">
    <w:name w:val="Footnote Text"/>
    <w:link w:val="FootnoteTextChar"/>
    <w:uiPriority w:val="99"/>
    <w:semiHidden/>
    <w:unhideWhenUsed/>
    <w:pPr>
      <w:widowControl/>
      <w:bidi w:val="0"/>
      <w:spacing w:before="0" w:after="0"/>
      <w:jc w:val="left"/>
    </w:pPr>
    <w:rPr>
      <w:rFonts w:ascii="Arial" w:hAnsi="Arial" w:eastAsia="Arial" w:cs="Arial"/>
      <w:color w:val="211F20"/>
      <w:kern w:val="0"/>
      <w:sz w:val="20"/>
      <w:szCs w:val="20"/>
      <w:lang w:val="en-US" w:eastAsia="en-US" w:bidi="ar-SA"/>
    </w:rPr>
  </w:style>
  <w:style w:type="paragraph" w:styleId="EndnoteText">
    <w:name w:val="Endnote Text"/>
    <w:link w:val="EndnoteTextChar"/>
    <w:uiPriority w:val="99"/>
    <w:semiHidden/>
    <w:unhideWhenUsed/>
    <w:pPr>
      <w:widowControl/>
      <w:bidi w:val="0"/>
      <w:spacing w:before="0" w:after="0"/>
      <w:jc w:val="left"/>
    </w:pPr>
    <w:rPr>
      <w:rFonts w:ascii="Arial" w:hAnsi="Arial" w:eastAsia="Arial" w:cs="Arial"/>
      <w:color w:val="211F20"/>
      <w:kern w:val="0"/>
      <w:sz w:val="20"/>
      <w:szCs w:val="20"/>
      <w:lang w:val="en-US" w:eastAsia="en-US" w:bidi="ar-SA"/>
    </w:rPr>
  </w:style>
  <w:style w:type="paragraph" w:styleId="Revision">
    <w:name w:val="Revision"/>
    <w:uiPriority w:val="99"/>
    <w:semiHidden/>
    <w:qFormat/>
    <w:rsid w:val="00a15f58"/>
    <w:pPr>
      <w:widowControl/>
      <w:bidi w:val="0"/>
      <w:spacing w:before="0" w:after="0"/>
      <w:jc w:val="left"/>
    </w:pPr>
    <w:rPr>
      <w:rFonts w:ascii="Arial" w:hAnsi="Arial" w:eastAsia="Arial" w:cs="Arial"/>
      <w:color w:val="211F20"/>
      <w:kern w:val="0"/>
      <w:sz w:val="21"/>
      <w:szCs w:val="21"/>
      <w:lang w:val="en-US" w:eastAsia="en-US" w:bidi="ar-SA"/>
    </w:rPr>
  </w:style>
  <w:style w:type="paragraph" w:styleId="AnnotationText">
    <w:name w:val="Annotation Text"/>
    <w:basedOn w:val="Normal"/>
    <w:link w:val="CommentTextChar"/>
    <w:uiPriority w:val="99"/>
    <w:unhideWhenUsed/>
    <w:rsid w:val="00a15f58"/>
    <w:pPr/>
    <w:rPr>
      <w:sz w:val="20"/>
      <w:szCs w:val="20"/>
    </w:rPr>
  </w:style>
  <w:style w:type="paragraph" w:styleId="annotationsubject">
    <w:name w:val="annotation subject"/>
    <w:basedOn w:val="AnnotationText"/>
    <w:next w:val="AnnotationText"/>
    <w:link w:val="CommentSubjectChar"/>
    <w:uiPriority w:val="99"/>
    <w:semiHidden/>
    <w:unhideWhenUsed/>
    <w:qFormat/>
    <w:rsid w:val="00a15f58"/>
    <w:pPr/>
    <w:rPr>
      <w:b/>
      <w:bCs/>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256</TotalTime>
  <Application>LibreOffice/24.2.7.2$Linux_X86_64 LibreOffice_project/420$Build-2</Application>
  <AppVersion>15.0000</AppVersion>
  <Pages>8</Pages>
  <Words>730</Words>
  <Characters>4442</Characters>
  <CharactersWithSpaces>5067</CharactersWithSpaces>
  <Paragraphs>96</Paragraphs>
  <Company>GHC - Project Online Desktop Client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2026-07-08T14:50:00Z</dcterms:created>
  <dc:creator>Un-named</dc:creator>
  <dc:description/>
  <dc:language>en-US</dc:language>
  <cp:lastModifiedBy/>
  <dcterms:modified xsi:type="dcterms:W3CDTF">2026-07-13T11:44:16Z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