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header3.xml.rels" ContentType="application/vnd.openxmlformats-package.relationships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60" w:after="80"/>
        <w:rPr/>
      </w:pPr>
      <w:r>
        <w:rPr/>
        <w:t xml:space="preserve"> </w:t>
        <w:drawing>
          <wp:inline distT="0" distB="0" distL="0" distR="0">
            <wp:extent cx="2857500" cy="733425"/>
            <wp:effectExtent l="0" t="0" r="0" b="0"/>
            <wp:docPr id="1" name="GraceLogo" descr="Grace Design Studios Grace Design Studio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ceLogo" descr="Grace Design Studios Grace Design Studios logo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>
          <w:bottom w:val="single" w:sz="12" w:space="6" w:color="10A0D8"/>
        </w:pBdr>
        <w:spacing w:before="0" w:after="200"/>
        <w:rPr/>
      </w:pPr>
      <w:r>
        <w:rPr>
          <w:i/>
          <w:iCs/>
          <w:color w:val="5B6B77"/>
          <w:sz w:val="18"/>
          <w:szCs w:val="18"/>
        </w:rPr>
        <w:t>Design that Defines. Impact that Endures.</w:t>
      </w:r>
    </w:p>
    <w:p>
      <w:pPr>
        <w:pStyle w:val="Normal"/>
        <w:spacing w:before="260" w:after="60"/>
        <w:rPr/>
      </w:pPr>
      <w:r>
        <w:rPr>
          <w:b/>
          <w:bCs/>
          <w:color w:val="10A0D8"/>
          <w:sz w:val="20"/>
          <w:szCs w:val="20"/>
        </w:rPr>
        <w:t>PURSUIT &amp; CONTRACTING — RFP-RELATED COMMUNICATIONS</w:t>
      </w:r>
    </w:p>
    <w:p>
      <w:pPr>
        <w:pStyle w:val="Normal"/>
        <w:spacing w:before="0" w:after="60"/>
        <w:rPr/>
      </w:pPr>
      <w:r>
        <w:rPr>
          <w:b/>
          <w:bCs/>
          <w:color w:val="0A3A54"/>
          <w:sz w:val="44"/>
          <w:szCs w:val="44"/>
        </w:rPr>
        <w:t>Oakhaven Public Safety Campus</w:t>
      </w:r>
    </w:p>
    <w:p>
      <w:pPr>
        <w:pStyle w:val="Normal"/>
        <w:spacing w:before="0" w:after="240"/>
        <w:rPr/>
      </w:pPr>
      <w:r>
        <w:rPr>
          <w:sz w:val="24"/>
          <w:szCs w:val="24"/>
        </w:rPr>
        <w:t>Internal and external correspondence available at the pursuit / contracting stage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000" w:noHBand="0" w:noVBand="0" w:firstColumn="0" w:lastRow="0" w:lastColumn="0" w:firstRow="0"/>
      </w:tblPr>
      <w:tblGrid>
        <w:gridCol w:w="2999"/>
        <w:gridCol w:w="6360"/>
      </w:tblGrid>
      <w:tr>
        <w:trPr/>
        <w:tc>
          <w:tcPr>
            <w:tcW w:w="299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E4F3FB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Project</w:t>
            </w:r>
          </w:p>
        </w:tc>
        <w:tc>
          <w:tcPr>
            <w:tcW w:w="636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Oakhaven Public Safety Campus (Pursuit No. GRC-P-26-0142)</w:t>
            </w:r>
          </w:p>
        </w:tc>
      </w:tr>
      <w:tr>
        <w:trPr/>
        <w:tc>
          <w:tcPr>
            <w:tcW w:w="299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E4F3FB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Owner / Solicitation</w:t>
            </w:r>
          </w:p>
        </w:tc>
        <w:tc>
          <w:tcPr>
            <w:tcW w:w="636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City of Oakhaven, Louisiana — RFP No. OEP-2026-004</w:t>
            </w:r>
          </w:p>
        </w:tc>
      </w:tr>
      <w:tr>
        <w:trPr/>
        <w:tc>
          <w:tcPr>
            <w:tcW w:w="299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E4F3FB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Pursuit Manager</w:t>
            </w:r>
          </w:p>
        </w:tc>
        <w:tc>
          <w:tcPr>
            <w:tcW w:w="636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 xml:space="preserve">Elena Cross, Marketing Director</w:t>
            </w:r>
          </w:p>
        </w:tc>
      </w:tr>
      <w:tr>
        <w:trPr/>
        <w:tc>
          <w:tcPr>
            <w:tcW w:w="299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E4F3FB" w:val="clear"/>
            <w:vAlign w:val="center"/>
          </w:tcPr>
          <w:p>
            <w:pPr>
              <w:pStyle w:val="Normal"/>
              <w:spacing w:lineRule="auto" w:line="249" w:before="0" w:after="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Pursuit Lead (PIC)</w:t>
            </w:r>
          </w:p>
        </w:tc>
        <w:tc>
          <w:tcPr>
            <w:tcW w:w="636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Marcus Webb, AIA, Principal</w:t>
            </w:r>
          </w:p>
        </w:tc>
      </w:tr>
      <w:tr>
        <w:trPr/>
        <w:tc>
          <w:tcPr>
            <w:tcW w:w="299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E4F3FB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Period covered</w:t>
            </w:r>
          </w:p>
        </w:tc>
        <w:tc>
          <w:tcPr>
            <w:tcW w:w="636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May 18 – July 28, 2026 (RFP issue → award &amp; handoff)</w:t>
            </w:r>
          </w:p>
        </w:tc>
      </w:tr>
    </w:tbl>
    <w:p>
      <w:pPr>
        <w:pStyle w:val="Normal"/>
        <w:spacing w:lineRule="auto" w:line="264" w:before="0" w:after="120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64" w:before="0" w:after="120"/>
        <w:rPr/>
      </w:pPr>
      <w:r>
        <w:rPr>
          <w:b/>
          <w:bCs/>
        </w:rPr>
        <w:t xml:space="preserve">Purpose.  </w:t>
      </w:r>
      <w:r>
        <w:rPr/>
        <w:t>A consolidated record of the communications a firm accumulates during pursuit — from receiving the RFP, through the Go/No-Go decision, clarification questions, proposal submission, selection, and the pursuit-to-PM handoff. This is the correspondence that exists before the project is truly 'live.' This is a summary log, not the full correspondence trail — pursuit-stage communications moved by email and the RFP portal.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120"/>
        <w:rPr/>
      </w:pPr>
      <w:r>
        <w:rPr/>
        <w:t xml:space="preserve">1.  Communications Log</w:t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000" w:noHBand="0" w:noVBand="0" w:firstColumn="0" w:lastRow="0" w:lastColumn="0" w:firstRow="0"/>
      </w:tblPr>
      <w:tblGrid>
        <w:gridCol w:w="1249"/>
        <w:gridCol w:w="1300"/>
        <w:gridCol w:w="3051"/>
        <w:gridCol w:w="3759"/>
      </w:tblGrid>
      <w:tr>
        <w:trPr>
          <w:tblHeader w:val="true"/>
        </w:trPr>
        <w:tc>
          <w:tcPr>
            <w:tcW w:w="124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0C6F9E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Date</w:t>
            </w:r>
          </w:p>
        </w:tc>
        <w:tc>
          <w:tcPr>
            <w:tcW w:w="13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0C6F9E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Type</w:t>
            </w:r>
          </w:p>
        </w:tc>
        <w:tc>
          <w:tcPr>
            <w:tcW w:w="3051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0C6F9E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From → To</w:t>
            </w:r>
          </w:p>
        </w:tc>
        <w:tc>
          <w:tcPr>
            <w:tcW w:w="37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0C6F9E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Subject</w:t>
            </w:r>
          </w:p>
        </w:tc>
      </w:tr>
      <w:tr>
        <w:trPr/>
        <w:tc>
          <w:tcPr>
            <w:tcW w:w="124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May 18, 2026</w:t>
            </w:r>
          </w:p>
        </w:tc>
        <w:tc>
          <w:tcPr>
            <w:tcW w:w="13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jc w:val="center"/>
              <w:rPr/>
            </w:pPr>
            <w:r>
              <w:rPr>
                <w:sz w:val="20"/>
                <w:szCs w:val="20"/>
              </w:rPr>
              <w:t>External · in</w:t>
            </w:r>
          </w:p>
        </w:tc>
        <w:tc>
          <w:tcPr>
            <w:tcW w:w="3051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City of Oakhaven → Grace (BD)</w:t>
            </w:r>
          </w:p>
        </w:tc>
        <w:tc>
          <w:tcPr>
            <w:tcW w:w="37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RFP OEP-2026-004 issued — invitation to propose</w:t>
            </w:r>
          </w:p>
        </w:tc>
      </w:tr>
      <w:tr>
        <w:trPr/>
        <w:tc>
          <w:tcPr>
            <w:tcW w:w="124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May 20, 2026</w:t>
            </w:r>
          </w:p>
        </w:tc>
        <w:tc>
          <w:tcPr>
            <w:tcW w:w="13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jc w:val="center"/>
              <w:rPr/>
            </w:pPr>
            <w:r>
              <w:rPr>
                <w:sz w:val="20"/>
                <w:szCs w:val="20"/>
              </w:rPr>
              <w:t>Internal</w:t>
            </w:r>
          </w:p>
        </w:tc>
        <w:tc>
          <w:tcPr>
            <w:tcW w:w="3051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 xml:space="preserve">E. Cross → Pursuit team</w:t>
            </w:r>
          </w:p>
        </w:tc>
        <w:tc>
          <w:tcPr>
            <w:tcW w:w="37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Go/No-Go decision — Oakhaven Public Safety Campus (GO)</w:t>
            </w:r>
          </w:p>
        </w:tc>
      </w:tr>
      <w:tr>
        <w:trPr/>
        <w:tc>
          <w:tcPr>
            <w:tcW w:w="124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May 21, 2026</w:t>
            </w:r>
          </w:p>
        </w:tc>
        <w:tc>
          <w:tcPr>
            <w:tcW w:w="13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jc w:val="center"/>
              <w:rPr/>
            </w:pPr>
            <w:r>
              <w:rPr>
                <w:sz w:val="20"/>
                <w:szCs w:val="20"/>
              </w:rPr>
              <w:t>External · out</w:t>
            </w:r>
          </w:p>
        </w:tc>
        <w:tc>
          <w:tcPr>
            <w:tcW w:w="3051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Grace → T. Nguyen (City)</w:t>
            </w:r>
          </w:p>
        </w:tc>
        <w:tc>
          <w:tcPr>
            <w:tcW w:w="37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Notice of intent to respond; respondent registration</w:t>
            </w:r>
          </w:p>
        </w:tc>
      </w:tr>
      <w:tr>
        <w:trPr/>
        <w:tc>
          <w:tcPr>
            <w:tcW w:w="124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May 26, 2026</w:t>
            </w:r>
          </w:p>
        </w:tc>
        <w:tc>
          <w:tcPr>
            <w:tcW w:w="13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jc w:val="center"/>
              <w:rPr/>
            </w:pPr>
            <w:r>
              <w:rPr>
                <w:sz w:val="20"/>
                <w:szCs w:val="20"/>
              </w:rPr>
              <w:t>Internal</w:t>
            </w:r>
          </w:p>
        </w:tc>
        <w:tc>
          <w:tcPr>
            <w:tcW w:w="3051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M. Webb → Pursuit team</w:t>
            </w:r>
          </w:p>
        </w:tc>
        <w:tc>
          <w:tcPr>
            <w:tcW w:w="37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Pursuit team, fee strategy &amp; Target Multiplier</w:t>
            </w:r>
          </w:p>
        </w:tc>
      </w:tr>
      <w:tr>
        <w:trPr/>
        <w:tc>
          <w:tcPr>
            <w:tcW w:w="124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Jun 3, 2026</w:t>
            </w:r>
          </w:p>
        </w:tc>
        <w:tc>
          <w:tcPr>
            <w:tcW w:w="13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jc w:val="center"/>
              <w:rPr/>
            </w:pPr>
            <w:r>
              <w:rPr>
                <w:sz w:val="20"/>
                <w:szCs w:val="20"/>
              </w:rPr>
              <w:t>External · out</w:t>
            </w:r>
          </w:p>
        </w:tc>
        <w:tc>
          <w:tcPr>
            <w:tcW w:w="3051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Grace → T. Nguyen (City)</w:t>
            </w:r>
          </w:p>
        </w:tc>
        <w:tc>
          <w:tcPr>
            <w:tcW w:w="37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Clarification questions (before Jun 5 deadline)</w:t>
            </w:r>
          </w:p>
        </w:tc>
      </w:tr>
      <w:tr>
        <w:trPr/>
        <w:tc>
          <w:tcPr>
            <w:tcW w:w="124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Jun 9, 2026</w:t>
            </w:r>
          </w:p>
        </w:tc>
        <w:tc>
          <w:tcPr>
            <w:tcW w:w="13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jc w:val="center"/>
              <w:rPr/>
            </w:pPr>
            <w:r>
              <w:rPr>
                <w:sz w:val="20"/>
                <w:szCs w:val="20"/>
              </w:rPr>
              <w:t>External · in</w:t>
            </w:r>
          </w:p>
        </w:tc>
        <w:tc>
          <w:tcPr>
            <w:tcW w:w="3051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City → all respondents</w:t>
            </w:r>
          </w:p>
        </w:tc>
        <w:tc>
          <w:tcPr>
            <w:tcW w:w="37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Addendum No. 1 — answers to questions</w:t>
            </w:r>
          </w:p>
        </w:tc>
      </w:tr>
      <w:tr>
        <w:trPr/>
        <w:tc>
          <w:tcPr>
            <w:tcW w:w="124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Jun 17, 2026</w:t>
            </w:r>
          </w:p>
        </w:tc>
        <w:tc>
          <w:tcPr>
            <w:tcW w:w="13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jc w:val="center"/>
              <w:rPr/>
            </w:pPr>
            <w:r>
              <w:rPr>
                <w:sz w:val="20"/>
                <w:szCs w:val="20"/>
              </w:rPr>
              <w:t>Internal</w:t>
            </w:r>
          </w:p>
        </w:tc>
        <w:tc>
          <w:tcPr>
            <w:tcW w:w="3051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D. Reyes / M. Webb</w:t>
            </w:r>
          </w:p>
        </w:tc>
        <w:tc>
          <w:tcPr>
            <w:tcW w:w="37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Proposal &amp; fee review; approval to submit</w:t>
            </w:r>
          </w:p>
        </w:tc>
      </w:tr>
      <w:tr>
        <w:trPr/>
        <w:tc>
          <w:tcPr>
            <w:tcW w:w="124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Jun 19, 2026</w:t>
            </w:r>
          </w:p>
        </w:tc>
        <w:tc>
          <w:tcPr>
            <w:tcW w:w="13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jc w:val="center"/>
              <w:rPr/>
            </w:pPr>
            <w:r>
              <w:rPr>
                <w:sz w:val="20"/>
                <w:szCs w:val="20"/>
              </w:rPr>
              <w:t>External · out</w:t>
            </w:r>
          </w:p>
        </w:tc>
        <w:tc>
          <w:tcPr>
            <w:tcW w:w="3051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Grace → K. Whitfield (City)</w:t>
            </w:r>
          </w:p>
        </w:tc>
        <w:tc>
          <w:tcPr>
            <w:tcW w:w="37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Proposal transmittal — Oakhaven Public Safety Campus</w:t>
            </w:r>
          </w:p>
        </w:tc>
      </w:tr>
      <w:tr>
        <w:trPr/>
        <w:tc>
          <w:tcPr>
            <w:tcW w:w="124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Jun 30, 2026</w:t>
            </w:r>
          </w:p>
        </w:tc>
        <w:tc>
          <w:tcPr>
            <w:tcW w:w="13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jc w:val="center"/>
              <w:rPr/>
            </w:pPr>
            <w:r>
              <w:rPr>
                <w:sz w:val="20"/>
                <w:szCs w:val="20"/>
              </w:rPr>
              <w:t>External · in</w:t>
            </w:r>
          </w:p>
        </w:tc>
        <w:tc>
          <w:tcPr>
            <w:tcW w:w="3051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City → Grace</w:t>
            </w:r>
          </w:p>
        </w:tc>
        <w:tc>
          <w:tcPr>
            <w:tcW w:w="37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Shortlist — finalist interview invitation</w:t>
            </w:r>
          </w:p>
        </w:tc>
      </w:tr>
      <w:tr>
        <w:trPr/>
        <w:tc>
          <w:tcPr>
            <w:tcW w:w="124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Jul 13, 2026</w:t>
            </w:r>
          </w:p>
        </w:tc>
        <w:tc>
          <w:tcPr>
            <w:tcW w:w="13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jc w:val="center"/>
              <w:rPr/>
            </w:pPr>
            <w:r>
              <w:rPr>
                <w:sz w:val="20"/>
                <w:szCs w:val="20"/>
              </w:rPr>
              <w:t>External · in</w:t>
            </w:r>
          </w:p>
        </w:tc>
        <w:tc>
          <w:tcPr>
            <w:tcW w:w="3051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City → Grace</w:t>
            </w:r>
          </w:p>
        </w:tc>
        <w:tc>
          <w:tcPr>
            <w:tcW w:w="37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Notice of selection / intent to award</w:t>
            </w:r>
          </w:p>
        </w:tc>
      </w:tr>
      <w:tr>
        <w:trPr/>
        <w:tc>
          <w:tcPr>
            <w:tcW w:w="124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Jul 27, 2026</w:t>
            </w:r>
          </w:p>
        </w:tc>
        <w:tc>
          <w:tcPr>
            <w:tcW w:w="13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jc w:val="center"/>
              <w:rPr/>
            </w:pPr>
            <w:r>
              <w:rPr>
                <w:sz w:val="20"/>
                <w:szCs w:val="20"/>
              </w:rPr>
              <w:t>External · both</w:t>
            </w:r>
          </w:p>
        </w:tc>
        <w:tc>
          <w:tcPr>
            <w:tcW w:w="3051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City ↔ Grace</w:t>
            </w:r>
          </w:p>
        </w:tc>
        <w:tc>
          <w:tcPr>
            <w:tcW w:w="37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Owner/Architect Agreement executed; Notice to Proceed</w:t>
            </w:r>
          </w:p>
        </w:tc>
      </w:tr>
      <w:tr>
        <w:trPr/>
        <w:tc>
          <w:tcPr>
            <w:tcW w:w="124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Jul 28, 2026</w:t>
            </w:r>
          </w:p>
        </w:tc>
        <w:tc>
          <w:tcPr>
            <w:tcW w:w="13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jc w:val="center"/>
              <w:rPr/>
            </w:pPr>
            <w:r>
              <w:rPr>
                <w:sz w:val="20"/>
                <w:szCs w:val="20"/>
              </w:rPr>
              <w:t>Internal</w:t>
            </w:r>
          </w:p>
        </w:tc>
        <w:tc>
          <w:tcPr>
            <w:tcW w:w="3051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E. Cross → D. Reyes</w:t>
            </w:r>
          </w:p>
        </w:tc>
        <w:tc>
          <w:tcPr>
            <w:tcW w:w="37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Pursuit-to-PM handoff — brief, assumptions, pricing</w:t>
            </w:r>
          </w:p>
        </w:tc>
      </w:tr>
    </w:tbl>
    <w:p>
      <w:pPr>
        <w:pStyle w:val="Normal"/>
        <w:spacing w:lineRule="auto" w:line="264" w:before="0" w:after="80"/>
        <w:rPr/>
      </w:pPr>
      <w:r>
        <w:rPr>
          <w:i/>
          <w:iCs/>
        </w:rPr>
        <w:t>The full text of the key items follows. Routine acknowledgements are logged above only.</w:t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  <w:t>2.  Key Communications (full text)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80"/>
        <w:rPr/>
      </w:pPr>
      <w:r>
        <w:rPr/>
        <w:t>2.1  Internal — Go/No-Go Decision (May 20, 2026)</w:t>
      </w:r>
    </w:p>
    <w:p>
      <w:pPr>
        <w:pStyle w:val="Normal"/>
        <w:spacing w:before="160" w:after="0"/>
        <w:rPr/>
      </w:pPr>
      <w:r>
        <w:rPr/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000" w:noHBand="0" w:noVBand="0" w:firstColumn="0" w:lastRow="0" w:lastColumn="0" w:firstRow="0"/>
      </w:tblPr>
      <w:tblGrid>
        <w:gridCol w:w="1500"/>
        <w:gridCol w:w="7859"/>
      </w:tblGrid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E4F3FB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From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Elena Cross, Marketing Director</w:t>
            </w:r>
          </w:p>
        </w:tc>
      </w:tr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E4F3FB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To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Marcus Webb (PIC); Dana Reyes (PM-designate); Finance; Pursuit team</w:t>
            </w:r>
          </w:p>
        </w:tc>
      </w:tr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E4F3FB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May 20, 2026</w:t>
            </w:r>
          </w:p>
        </w:tc>
      </w:tr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E4F3FB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Subject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Go/No-Go — Oakhaven Public Safety Campus (RFP OEP-2026-004)</w:t>
            </w:r>
          </w:p>
        </w:tc>
      </w:tr>
    </w:tbl>
    <w:p>
      <w:pPr>
        <w:pStyle w:val="Normal"/>
        <w:spacing w:lineRule="auto" w:line="264" w:before="0" w:after="80"/>
        <w:rPr/>
      </w:pPr>
      <w:r>
        <w:rPr/>
      </w:r>
    </w:p>
    <w:p>
      <w:pPr>
        <w:pStyle w:val="Normal"/>
        <w:spacing w:lineRule="auto" w:line="264" w:before="0" w:after="80"/>
        <w:rPr/>
      </w:pPr>
      <w:r>
        <w:rPr/>
        <w:t>Team — we screened the Oakhaven RFP against the Go/No-Go criteria this morning. Recommendation: GO.</w:t>
      </w:r>
    </w:p>
    <w:p>
      <w:pPr>
        <w:pStyle w:val="Normal"/>
        <w:spacing w:lineRule="auto" w:line="264" w:before="0" w:after="80"/>
        <w:rPr/>
      </w:pPr>
      <w:r>
        <w:rPr/>
        <w:t>Fit is strong: a Risk Category IV civic/public-safety project in our core market, a client type we know, and a scope centered on architecture and interiors with engineering we can carry. Civil is Owner-retained, which removes our highest-variability sub. Schedule is achievable and the fee basis supports a healthy margin.</w:t>
      </w:r>
    </w:p>
    <w:p>
      <w:pPr>
        <w:pStyle w:val="Normal"/>
        <w:spacing w:lineRule="auto" w:line="264" w:before="0" w:after="80"/>
        <w:rPr/>
      </w:pPr>
      <w:r>
        <w:rPr/>
        <w:t>Watch-items carried into the proposal: Owner-furnished dispatch/CAD systems (coordination risk), long-lead generator, and the hardened-core scope. See the completed Go/No-Go Form for scores.</w:t>
      </w:r>
    </w:p>
    <w:p>
      <w:pPr>
        <w:pStyle w:val="Normal"/>
        <w:spacing w:lineRule="auto" w:line="264" w:before="0" w:after="80"/>
        <w:rPr/>
      </w:pPr>
      <w:r>
        <w:rPr/>
        <w:t>Next: I'll register us as a respondent and route clarification questions before the June 5 deadline. Marcus to set the pursuit strategy and fee development.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80"/>
        <w:rPr/>
      </w:pPr>
      <w:r>
        <w:rPr/>
        <w:t>2.2  External — Clarification Questions to the Owner (June 3, 2026)</w:t>
      </w:r>
    </w:p>
    <w:p>
      <w:pPr>
        <w:pStyle w:val="Normal"/>
        <w:spacing w:before="160" w:after="0"/>
        <w:rPr/>
      </w:pPr>
      <w:r>
        <w:rPr/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000" w:noHBand="0" w:noVBand="0" w:firstColumn="0" w:lastRow="0" w:lastColumn="0" w:firstRow="0"/>
      </w:tblPr>
      <w:tblGrid>
        <w:gridCol w:w="1500"/>
        <w:gridCol w:w="7859"/>
      </w:tblGrid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From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Grace Design Studios (E. Cross)</w:t>
            </w:r>
          </w:p>
        </w:tc>
      </w:tr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To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Thomas Nguyen, Purchasing Agent, City of Oakhaven</w:t>
            </w:r>
          </w:p>
        </w:tc>
      </w:tr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June 3, 2026</w:t>
            </w:r>
          </w:p>
        </w:tc>
      </w:tr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Subject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RFP OEP-2026-004 — Respondent questions</w:t>
            </w:r>
          </w:p>
        </w:tc>
      </w:tr>
    </w:tbl>
    <w:p>
      <w:pPr>
        <w:pStyle w:val="Normal"/>
        <w:spacing w:lineRule="auto" w:line="264" w:before="0" w:after="80"/>
        <w:rPr/>
      </w:pPr>
      <w:r>
        <w:rPr/>
      </w:r>
    </w:p>
    <w:p>
      <w:pPr>
        <w:pStyle w:val="Normal"/>
        <w:spacing w:lineRule="auto" w:line="264" w:before="0" w:after="80"/>
        <w:rPr/>
      </w:pPr>
      <w:r>
        <w:rPr/>
        <w:t>Mr. Nguyen — thank you for the opportunity. Please consider the following clarification questions:</w:t>
      </w:r>
    </w:p>
    <w:p>
      <w:pPr>
        <w:pStyle w:val="ListParagraph"/>
        <w:numPr>
          <w:ilvl w:val="0"/>
          <w:numId w:val="3"/>
        </w:numPr>
        <w:spacing w:lineRule="auto" w:line="261" w:before="0" w:after="70"/>
        <w:rPr/>
      </w:pPr>
      <w:r>
        <w:rPr/>
        <w:t>Q1.  Will the boundary/topographic survey and geotechnical report be Owner-furnished, and when would they be available to the selected firm?</w:t>
      </w:r>
    </w:p>
    <w:p>
      <w:pPr>
        <w:pStyle w:val="ListParagraph"/>
        <w:numPr>
          <w:ilvl w:val="0"/>
          <w:numId w:val="1"/>
        </w:numPr>
        <w:spacing w:lineRule="auto" w:line="261" w:before="0" w:after="70"/>
        <w:rPr/>
      </w:pPr>
      <w:r>
        <w:rPr/>
        <w:t>Q2.  Please confirm that civil / site engineering is contracted directly by the City, and describe the coordination the City expects from the A/E.</w:t>
      </w:r>
    </w:p>
    <w:p>
      <w:pPr>
        <w:pStyle w:val="ListParagraph"/>
        <w:numPr>
          <w:ilvl w:val="0"/>
          <w:numId w:val="1"/>
        </w:numPr>
        <w:spacing w:lineRule="auto" w:line="261" w:before="0" w:after="70"/>
        <w:rPr/>
      </w:pPr>
      <w:r>
        <w:rPr/>
        <w:t>Q3.  Please confirm the 911 dispatch console furniture and CAD/radio systems are Owner-Furnished (OFCI), and whether a systems vendor has been selected.</w:t>
      </w:r>
    </w:p>
    <w:p>
      <w:pPr>
        <w:pStyle w:val="ListParagraph"/>
        <w:numPr>
          <w:ilvl w:val="0"/>
          <w:numId w:val="1"/>
        </w:numPr>
        <w:spacing w:lineRule="auto" w:line="261" w:before="0" w:after="70"/>
        <w:rPr/>
      </w:pPr>
      <w:r>
        <w:rPr/>
        <w:t>Q4.  Does the $40,000,000 construction budget include site/civil work and Owner-furnished equipment, or is it the building construction contract only?</w:t>
      </w:r>
    </w:p>
    <w:p>
      <w:pPr>
        <w:pStyle w:val="ListParagraph"/>
        <w:numPr>
          <w:ilvl w:val="0"/>
          <w:numId w:val="1"/>
        </w:numPr>
        <w:spacing w:lineRule="auto" w:line="261" w:before="0" w:after="70"/>
        <w:rPr/>
      </w:pPr>
      <w:r>
        <w:rPr/>
        <w:t>Q5.  Please confirm required professional liability limits and any modifications to AIA B101-2017 the City intends.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80"/>
        <w:rPr/>
      </w:pPr>
      <w:r>
        <w:rPr/>
        <w:t>2.3  External — Owner Addendum No. 1: Answers (June 9, 2026)</w:t>
      </w:r>
    </w:p>
    <w:p>
      <w:pPr>
        <w:pStyle w:val="Normal"/>
        <w:spacing w:before="160" w:after="0"/>
        <w:rPr/>
      </w:pPr>
      <w:r>
        <w:rPr/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000" w:noHBand="0" w:noVBand="0" w:firstColumn="0" w:lastRow="0" w:lastColumn="0" w:firstRow="0"/>
      </w:tblPr>
      <w:tblGrid>
        <w:gridCol w:w="700"/>
        <w:gridCol w:w="800"/>
        <w:gridCol w:w="7859"/>
      </w:tblGrid>
      <w:tr>
        <w:trPr/>
        <w:tc>
          <w:tcPr>
            <w:tcW w:w="1500" w:type="dxa"/>
            <w:gridSpan w:val="2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From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City of Oakhaven — Office of Emergency Preparedness</w:t>
            </w:r>
          </w:p>
        </w:tc>
      </w:tr>
      <w:tr>
        <w:trPr/>
        <w:tc>
          <w:tcPr>
            <w:tcW w:w="1500" w:type="dxa"/>
            <w:gridSpan w:val="2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To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All registered respondents</w:t>
            </w:r>
          </w:p>
        </w:tc>
      </w:tr>
      <w:tr>
        <w:trPr/>
        <w:tc>
          <w:tcPr>
            <w:tcW w:w="1500" w:type="dxa"/>
            <w:gridSpan w:val="2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June 9, 2026</w:t>
            </w:r>
          </w:p>
        </w:tc>
      </w:tr>
      <w:tr>
        <w:trPr/>
        <w:tc>
          <w:tcPr>
            <w:tcW w:w="1500" w:type="dxa"/>
            <w:gridSpan w:val="2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Subject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Addendum No. 1 — responses to respondent questions</w:t>
            </w:r>
          </w:p>
        </w:tc>
      </w:tr>
      <w:tr>
        <w:trPr/>
        <w:tc>
          <w:tcPr>
            <w:tcW w:w="7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0C6F9E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#</w:t>
            </w:r>
          </w:p>
        </w:tc>
        <w:tc>
          <w:tcPr>
            <w:tcW w:w="8659" w:type="dxa"/>
            <w:gridSpan w:val="2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0C6F9E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color w:val="FFFFFF"/>
                <w:sz w:val="20"/>
                <w:szCs w:val="20"/>
              </w:rPr>
              <w:t>Answer</w:t>
            </w:r>
          </w:p>
        </w:tc>
      </w:tr>
      <w:tr>
        <w:trPr/>
        <w:tc>
          <w:tcPr>
            <w:tcW w:w="7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8659" w:type="dxa"/>
            <w:gridSpan w:val="2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The survey and geotechnical report will be Owner-furnished and available at Notice to Proceed.</w:t>
            </w:r>
          </w:p>
        </w:tc>
      </w:tr>
      <w:tr>
        <w:trPr/>
        <w:tc>
          <w:tcPr>
            <w:tcW w:w="7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8659" w:type="dxa"/>
            <w:gridSpan w:val="2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Civil / site engineering is retained directly by the City under a separate contract. The A/E coordinates with the City's civil engineer but does not provide civil design.</w:t>
            </w:r>
          </w:p>
        </w:tc>
      </w:tr>
      <w:tr>
        <w:trPr/>
        <w:tc>
          <w:tcPr>
            <w:tcW w:w="7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A3</w:t>
            </w:r>
          </w:p>
        </w:tc>
        <w:tc>
          <w:tcPr>
            <w:tcW w:w="8659" w:type="dxa"/>
            <w:gridSpan w:val="2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Dispatch console furniture and the CAD/radio systems are Owner-Furnished, Contractor-Installed. Vendor selection is in progress; the A/E coordinates supporting infrastructure.</w:t>
            </w:r>
          </w:p>
        </w:tc>
      </w:tr>
      <w:tr>
        <w:trPr/>
        <w:tc>
          <w:tcPr>
            <w:tcW w:w="7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A4</w:t>
            </w:r>
          </w:p>
        </w:tc>
        <w:tc>
          <w:tcPr>
            <w:tcW w:w="8659" w:type="dxa"/>
            <w:gridSpan w:val="2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The $40M construction budget is the building construction contract (site work by the GC). It excludes A/E fees, the Owner's civil contract, and Owner-furnished equipment.</w:t>
            </w:r>
          </w:p>
        </w:tc>
      </w:tr>
      <w:tr>
        <w:trPr/>
        <w:tc>
          <w:tcPr>
            <w:tcW w:w="7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A5</w:t>
            </w:r>
          </w:p>
        </w:tc>
        <w:tc>
          <w:tcPr>
            <w:tcW w:w="8659" w:type="dxa"/>
            <w:gridSpan w:val="2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Professional liability of $5,000,000 per claim / $5,000,000 aggregate. Agreement is AIA B101-2017 as modified per the RFP.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80"/>
        <w:rPr/>
      </w:pPr>
      <w:r>
        <w:rPr/>
        <w:t>2.4  Internal — Fee Strategy &amp; Target Multiplier (May 26, 2026)</w:t>
      </w:r>
    </w:p>
    <w:p>
      <w:pPr>
        <w:pStyle w:val="Normal"/>
        <w:spacing w:before="160" w:after="0"/>
        <w:rPr/>
      </w:pPr>
      <w:r>
        <w:rPr/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000" w:noHBand="0" w:noVBand="0" w:firstColumn="0" w:lastRow="0" w:lastColumn="0" w:firstRow="0"/>
      </w:tblPr>
      <w:tblGrid>
        <w:gridCol w:w="1500"/>
        <w:gridCol w:w="7859"/>
      </w:tblGrid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E4F3FB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From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Marcus Webb, Principal-in-Charge</w:t>
            </w:r>
          </w:p>
        </w:tc>
      </w:tr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E4F3FB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To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Pursuit team; Finance; Dana Reyes</w:t>
            </w:r>
          </w:p>
        </w:tc>
      </w:tr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E4F3FB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May 26, 2026</w:t>
            </w:r>
          </w:p>
        </w:tc>
      </w:tr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E4F3FB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Subject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Fee strategy &amp; Target Multiplier — Oakhaven</w:t>
            </w:r>
          </w:p>
        </w:tc>
      </w:tr>
    </w:tbl>
    <w:p>
      <w:pPr>
        <w:pStyle w:val="Normal"/>
        <w:spacing w:lineRule="auto" w:line="264" w:before="0" w:after="80"/>
        <w:rPr/>
      </w:pPr>
      <w:r>
        <w:rPr/>
      </w:r>
    </w:p>
    <w:p>
      <w:pPr>
        <w:pStyle w:val="Normal"/>
        <w:spacing w:lineRule="auto" w:line="264" w:before="0" w:after="80"/>
        <w:rPr/>
      </w:pPr>
      <w:r>
        <w:rPr/>
        <w:t>Total design fee target: $2,800,000 (≈7% of the $40M construction cost). Grace's Net Service Fee is $1,400,000 for architecture &amp; interiors; subconsultants carried at $1,400,000; civil excluded.</w:t>
      </w:r>
    </w:p>
    <w:p>
      <w:pPr>
        <w:pStyle w:val="Normal"/>
        <w:spacing w:lineRule="auto" w:line="264" w:before="0" w:after="80"/>
        <w:rPr/>
      </w:pP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80"/>
        <w:rPr/>
      </w:pPr>
      <w:r>
        <w:rPr/>
        <w:t>2.5  External — Proposal Transmittal (June 19, 2026)</w:t>
      </w:r>
    </w:p>
    <w:p>
      <w:pPr>
        <w:pStyle w:val="Normal"/>
        <w:spacing w:before="160" w:after="0"/>
        <w:rPr/>
      </w:pPr>
      <w:r>
        <w:rPr/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000" w:noHBand="0" w:noVBand="0" w:firstColumn="0" w:lastRow="0" w:lastColumn="0" w:firstRow="0"/>
      </w:tblPr>
      <w:tblGrid>
        <w:gridCol w:w="1500"/>
        <w:gridCol w:w="7859"/>
      </w:tblGrid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From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Grace Design Studios (E. Cross)</w:t>
            </w:r>
          </w:p>
        </w:tc>
      </w:tr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To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Karen Whitfield, Director of Emergency Preparedness, City of Oakhaven</w:t>
            </w:r>
          </w:p>
        </w:tc>
      </w:tr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June 19, 2026</w:t>
            </w:r>
          </w:p>
        </w:tc>
      </w:tr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Subject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Proposal — Oakhaven Public Safety Campus (RFP OEP-2026-004)</w:t>
            </w:r>
          </w:p>
        </w:tc>
      </w:tr>
    </w:tbl>
    <w:p>
      <w:pPr>
        <w:pStyle w:val="Normal"/>
        <w:spacing w:lineRule="auto" w:line="264" w:before="0" w:after="80"/>
        <w:rPr/>
      </w:pPr>
      <w:r>
        <w:rPr/>
      </w:r>
    </w:p>
    <w:p>
      <w:pPr>
        <w:pStyle w:val="Normal"/>
        <w:spacing w:lineRule="auto" w:line="264" w:before="0" w:after="80"/>
        <w:rPr/>
      </w:pPr>
      <w:r>
        <w:rPr/>
        <w:t>Ms. Whitfield — please find enclosed Grace Design Studios' proposal for architectural and engineering design services for the Oakhaven Public Safety Campus, submitted in response to RFP OEP-2026-004 and incorporating Addendum No. 1.</w:t>
      </w:r>
    </w:p>
    <w:p>
      <w:pPr>
        <w:pStyle w:val="Normal"/>
        <w:spacing w:lineRule="auto" w:line="264" w:before="0" w:after="80"/>
        <w:rPr/>
      </w:pPr>
      <w:r>
        <w:rPr/>
        <w:t>Our fee proposal and full scope of services are enclosed, per Addendum No. 1. We would be honored to serve the City on this essential facility. We welcome any questions.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80"/>
        <w:rPr/>
      </w:pPr>
      <w:r>
        <w:rPr/>
        <w:t>2.6  External — Notice of Selection (July 13, 2026)</w:t>
      </w:r>
    </w:p>
    <w:p>
      <w:pPr>
        <w:pStyle w:val="Normal"/>
        <w:spacing w:before="160" w:after="0"/>
        <w:rPr/>
      </w:pPr>
      <w:r>
        <w:rPr/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000" w:noHBand="0" w:noVBand="0" w:firstColumn="0" w:lastRow="0" w:lastColumn="0" w:firstRow="0"/>
      </w:tblPr>
      <w:tblGrid>
        <w:gridCol w:w="1500"/>
        <w:gridCol w:w="7859"/>
      </w:tblGrid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From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City of Oakhaven — Office of Emergency Preparedness</w:t>
            </w:r>
          </w:p>
        </w:tc>
      </w:tr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To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Grace Design Studios</w:t>
            </w:r>
          </w:p>
        </w:tc>
      </w:tr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July 13, 2026</w:t>
            </w:r>
          </w:p>
        </w:tc>
      </w:tr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D3EAF6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Subject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Notice of Selection / Intent to Award — RFP OEP-2026-004</w:t>
            </w:r>
          </w:p>
        </w:tc>
      </w:tr>
    </w:tbl>
    <w:p>
      <w:pPr>
        <w:pStyle w:val="Normal"/>
        <w:spacing w:lineRule="auto" w:line="264" w:before="0" w:after="80"/>
        <w:rPr/>
      </w:pPr>
      <w:r>
        <w:rPr/>
      </w:r>
    </w:p>
    <w:p>
      <w:pPr>
        <w:pStyle w:val="Normal"/>
        <w:spacing w:lineRule="auto" w:line="264" w:before="0" w:after="80"/>
        <w:rPr/>
      </w:pPr>
      <w:r>
        <w:rPr/>
        <w:t>The City of Oakhaven selection committee has identified Grace Design Studios as the top-ranked respondent for the Oakhaven Public Safety Campus. The City intends to enter into an Owner/Architect Agreement (AIA B101-2017, as modified). We will forward the agreement for execution; anticipated Notice to Proceed is July 27, 2026.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80"/>
        <w:rPr/>
      </w:pPr>
      <w:r>
        <w:rPr/>
        <w:t xml:space="preserve">2.7  Internal — Pursuit-to-PM Handoff (July 28, 2026)</w:t>
      </w:r>
    </w:p>
    <w:p>
      <w:pPr>
        <w:pStyle w:val="Normal"/>
        <w:spacing w:before="160" w:after="0"/>
        <w:rPr/>
      </w:pPr>
      <w:r>
        <w:rPr/>
      </w:r>
    </w:p>
    <w:tbl>
      <w:tblPr>
        <w:tblW w:w="9360" w:type="dxa"/>
        <w:jc w:val="left"/>
        <w:tblInd w:w="0" w:type="dxa"/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000" w:noHBand="0" w:noVBand="0" w:firstColumn="0" w:lastRow="0" w:lastColumn="0" w:firstRow="0"/>
      </w:tblPr>
      <w:tblGrid>
        <w:gridCol w:w="1500"/>
        <w:gridCol w:w="7859"/>
      </w:tblGrid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E4F3FB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From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Elena Cross, Marketing Director</w:t>
            </w:r>
          </w:p>
        </w:tc>
      </w:tr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E4F3FB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To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Dana Reyes, Project Manager</w:t>
            </w:r>
          </w:p>
        </w:tc>
      </w:tr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E4F3FB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July 28, 2026</w:t>
            </w:r>
          </w:p>
        </w:tc>
      </w:tr>
      <w:tr>
        <w:trPr/>
        <w:tc>
          <w:tcPr>
            <w:tcW w:w="1500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shd w:color="auto" w:fill="E4F3FB" w:val="clear"/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b/>
                <w:bCs/>
                <w:sz w:val="20"/>
                <w:szCs w:val="20"/>
              </w:rPr>
              <w:t>Subject</w:t>
            </w:r>
          </w:p>
        </w:tc>
        <w:tc>
          <w:tcPr>
            <w:tcW w:w="7859" w:type="dxa"/>
            <w:tcBorders>
              <w:top w:val="single" w:sz="2" w:space="0" w:color="C4D6E0"/>
              <w:left w:val="single" w:sz="2" w:space="0" w:color="C4D6E0"/>
              <w:bottom w:val="single" w:sz="2" w:space="0" w:color="C4D6E0"/>
              <w:right w:val="single" w:sz="2" w:space="0" w:color="C4D6E0"/>
            </w:tcBorders>
            <w:vAlign w:val="center"/>
          </w:tcPr>
          <w:p>
            <w:pPr>
              <w:pStyle w:val="Normal"/>
              <w:spacing w:lineRule="auto" w:line="249" w:before="0" w:after="20"/>
              <w:rPr/>
            </w:pPr>
            <w:r>
              <w:rPr>
                <w:sz w:val="20"/>
                <w:szCs w:val="20"/>
              </w:rPr>
              <w:t>Oakhaven: what was promised, assumed, and priced</w:t>
            </w:r>
          </w:p>
        </w:tc>
      </w:tr>
    </w:tbl>
    <w:p>
      <w:pPr>
        <w:pStyle w:val="Normal"/>
        <w:spacing w:lineRule="auto" w:line="264" w:before="0" w:after="80"/>
        <w:rPr/>
      </w:pPr>
      <w:r>
        <w:rPr/>
      </w:r>
    </w:p>
    <w:p>
      <w:pPr>
        <w:pStyle w:val="Normal"/>
        <w:spacing w:lineRule="auto" w:line="264" w:before="0" w:after="80"/>
        <w:rPr/>
      </w:pPr>
      <w:r>
        <w:rPr/>
        <w:t xml:space="preserve">Dana — the project is yours. Summary for your handoff notes:</w:t>
      </w:r>
    </w:p>
    <w:p>
      <w:pPr>
        <w:pStyle w:val="Normal"/>
        <w:spacing w:lineRule="auto" w:line="264" w:before="0" w:after="80"/>
        <w:rPr/>
      </w:pPr>
      <w:r>
        <w:rPr/>
        <w:t xml:space="preserve">Promised: full A/E design for the 55,000-GSF Risk Cat IV campus; civil coordination only. </w:t>
      </w:r>
    </w:p>
    <w:p>
      <w:pPr>
        <w:pStyle w:val="Normal"/>
        <w:spacing w:lineRule="auto" w:line="264" w:before="0" w:after="80"/>
        <w:rPr/>
      </w:pPr>
      <w:r>
        <w:rPr/>
        <w:t xml:space="preserve">Assumed: survey &amp; geotech Owner-furnished at NTP; dispatch/CAD systems OFCI; one Owner review cycle per phase gate. </w:t>
      </w:r>
    </w:p>
    <w:p>
      <w:pPr>
        <w:pStyle w:val="Normal"/>
        <w:spacing w:lineRule="auto" w:line="264" w:before="0" w:after="80"/>
        <w:rPr/>
      </w:pPr>
      <w:r>
        <w:rPr/>
        <w:t xml:space="preserve">Priced: $2.8M total design fee ($1.4M Grace net), </w:t>
      </w:r>
    </w:p>
    <w:p>
      <w:pPr>
        <w:pStyle w:val="Normal"/>
        <w:spacing w:lineRule="auto" w:line="264" w:before="0" w:after="80"/>
        <w:rPr/>
      </w:pPr>
      <w:r>
        <w:rPr/>
        <w:t>At risk: Owner-furnished dispatch specs timing, long-lead generator, hardened-core coordination.</w:t>
      </w:r>
    </w:p>
    <w:p>
      <w:pPr>
        <w:pStyle w:val="Normal"/>
        <w:spacing w:lineRule="auto" w:line="264" w:before="0" w:after="80"/>
        <w:rPr/>
      </w:pPr>
      <w:r>
        <w:rPr/>
        <w:t>The executed agreement, the proposal, the Go/No-Go Form, and the Project Budget Spreadsheet are in the pursuit file. Kickoff is Aug 10. Come find me for anything that didn't make it into writing.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2240" w:h="15840"/>
      <w:pgMar w:left="1440" w:right="1440" w:gutter="0" w:header="708" w:top="1440" w:footer="708" w:bottom="1260"/>
      <w:pgNumType w:fmt="decimal"/>
      <w:formProt w:val="false"/>
      <w:textDirection w:val="lrTb"/>
      <w:docGrid w:type="default" w:linePitch="360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4" w:color="C4D6E0"/>
      </w:pBdr>
      <w:tabs>
        <w:tab w:val="clear" w:pos="720"/>
        <w:tab w:val="right" w:pos="9360" w:leader="none"/>
      </w:tabs>
      <w:rPr/>
    </w:pPr>
    <w:r>
      <w:rPr>
        <w:color w:val="5B6B77"/>
        <w:sz w:val="15"/>
        <w:szCs w:val="15"/>
      </w:rPr>
      <w:t>Oakhaven Public Safety Campus  ·  Project No. GRC-26-0142</w:t>
      <w:tab/>
      <w:t xml:space="preserve">Page </w:t>
    </w:r>
    <w:r>
      <w:rPr>
        <w:color w:val="5B6B77"/>
        <w:sz w:val="15"/>
        <w:szCs w:val="15"/>
      </w:rPr>
      <w:fldChar w:fldCharType="begin"/>
    </w:r>
    <w:r>
      <w:rPr>
        <w:sz w:val="15"/>
        <w:szCs w:val="15"/>
        <w:color w:val="5B6B77"/>
      </w:rPr>
      <w:instrText xml:space="preserve"> PAGE </w:instrText>
    </w:r>
    <w:r>
      <w:rPr>
        <w:sz w:val="15"/>
        <w:szCs w:val="15"/>
        <w:color w:val="5B6B77"/>
      </w:rPr>
      <w:fldChar w:fldCharType="separate"/>
    </w:r>
    <w:r>
      <w:rPr>
        <w:sz w:val="15"/>
        <w:szCs w:val="15"/>
        <w:color w:val="5B6B77"/>
      </w:rPr>
      <w:t>10</w:t>
    </w:r>
    <w:r>
      <w:rPr>
        <w:sz w:val="15"/>
        <w:szCs w:val="15"/>
        <w:color w:val="5B6B77"/>
      </w:rPr>
      <w:fldChar w:fldCharType="end"/>
    </w:r>
    <w:r>
      <w:rPr>
        <w:color w:val="5B6B77"/>
        <w:sz w:val="15"/>
        <w:szCs w:val="15"/>
      </w:rPr>
      <w:t xml:space="preserve"> of </w:t>
    </w:r>
    <w:r>
      <w:rPr>
        <w:color w:val="5B6B77"/>
        <w:sz w:val="15"/>
        <w:szCs w:val="15"/>
      </w:rPr>
      <w:fldChar w:fldCharType="begin"/>
    </w:r>
    <w:r>
      <w:rPr>
        <w:sz w:val="15"/>
        <w:szCs w:val="15"/>
        <w:color w:val="5B6B77"/>
      </w:rPr>
      <w:instrText xml:space="preserve"> NUMPAGES </w:instrText>
    </w:r>
    <w:r>
      <w:rPr>
        <w:sz w:val="15"/>
        <w:szCs w:val="15"/>
        <w:color w:val="5B6B77"/>
      </w:rPr>
      <w:fldChar w:fldCharType="separate"/>
    </w:r>
    <w:r>
      <w:rPr>
        <w:sz w:val="15"/>
        <w:szCs w:val="15"/>
        <w:color w:val="5B6B77"/>
      </w:rPr>
      <w:t>10</w:t>
    </w:r>
    <w:r>
      <w:rPr>
        <w:sz w:val="15"/>
        <w:szCs w:val="15"/>
        <w:color w:val="5B6B77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4" w:color="C4D6E0"/>
      </w:pBdr>
      <w:tabs>
        <w:tab w:val="clear" w:pos="720"/>
        <w:tab w:val="right" w:pos="9360" w:leader="none"/>
      </w:tabs>
      <w:rPr/>
    </w:pPr>
    <w:r>
      <w:rPr>
        <w:color w:val="5B6B77"/>
        <w:sz w:val="15"/>
        <w:szCs w:val="15"/>
      </w:rPr>
      <w:t>Oakhaven Public Safety Campus  ·  Project No. GRC-26-0142</w:t>
      <w:tab/>
      <w:t xml:space="preserve">Page </w:t>
    </w:r>
    <w:r>
      <w:rPr>
        <w:color w:val="5B6B77"/>
        <w:sz w:val="15"/>
        <w:szCs w:val="15"/>
      </w:rPr>
      <w:fldChar w:fldCharType="begin"/>
    </w:r>
    <w:r>
      <w:rPr>
        <w:sz w:val="15"/>
        <w:szCs w:val="15"/>
        <w:color w:val="5B6B77"/>
      </w:rPr>
      <w:instrText xml:space="preserve"> PAGE </w:instrText>
    </w:r>
    <w:r>
      <w:rPr>
        <w:sz w:val="15"/>
        <w:szCs w:val="15"/>
        <w:color w:val="5B6B77"/>
      </w:rPr>
      <w:fldChar w:fldCharType="separate"/>
    </w:r>
    <w:r>
      <w:rPr>
        <w:sz w:val="15"/>
        <w:szCs w:val="15"/>
        <w:color w:val="5B6B77"/>
      </w:rPr>
      <w:t>10</w:t>
    </w:r>
    <w:r>
      <w:rPr>
        <w:sz w:val="15"/>
        <w:szCs w:val="15"/>
        <w:color w:val="5B6B77"/>
      </w:rPr>
      <w:fldChar w:fldCharType="end"/>
    </w:r>
    <w:r>
      <w:rPr>
        <w:color w:val="5B6B77"/>
        <w:sz w:val="15"/>
        <w:szCs w:val="15"/>
      </w:rPr>
      <w:t xml:space="preserve"> of </w:t>
    </w:r>
    <w:r>
      <w:rPr>
        <w:color w:val="5B6B77"/>
        <w:sz w:val="15"/>
        <w:szCs w:val="15"/>
      </w:rPr>
      <w:fldChar w:fldCharType="begin"/>
    </w:r>
    <w:r>
      <w:rPr>
        <w:sz w:val="15"/>
        <w:szCs w:val="15"/>
        <w:color w:val="5B6B77"/>
      </w:rPr>
      <w:instrText xml:space="preserve"> NUMPAGES </w:instrText>
    </w:r>
    <w:r>
      <w:rPr>
        <w:sz w:val="15"/>
        <w:szCs w:val="15"/>
        <w:color w:val="5B6B77"/>
      </w:rPr>
      <w:fldChar w:fldCharType="separate"/>
    </w:r>
    <w:r>
      <w:rPr>
        <w:sz w:val="15"/>
        <w:szCs w:val="15"/>
        <w:color w:val="5B6B77"/>
      </w:rPr>
      <w:t>10</w:t>
    </w:r>
    <w:r>
      <w:rPr>
        <w:sz w:val="15"/>
        <w:szCs w:val="15"/>
        <w:color w:val="5B6B77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6" w:space="4" w:color="10A0D8"/>
      </w:pBdr>
      <w:tabs>
        <w:tab w:val="clear" w:pos="720"/>
        <w:tab w:val="right" w:pos="9360" w:leader="none"/>
      </w:tabs>
      <w:spacing w:before="0" w:after="40"/>
      <w:rPr/>
    </w:pPr>
    <w:r>
      <w:rPr/>
      <w:drawing>
        <wp:inline distT="0" distB="0" distL="0" distR="0">
          <wp:extent cx="1219200" cy="314325"/>
          <wp:effectExtent l="0" t="0" r="0" b="0"/>
          <wp:docPr id="2" name="Image2" descr="Grace Design Studios&#10;Grace Design Studi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Grace Design Studios&#10;Grace Design Studios lo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6B77"/>
        <w:sz w:val="16"/>
        <w:szCs w:val="16"/>
      </w:rPr>
      <w:tab/>
      <w:t>RFP-Related Communications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6" w:space="4" w:color="10A0D8"/>
      </w:pBdr>
      <w:tabs>
        <w:tab w:val="clear" w:pos="720"/>
        <w:tab w:val="right" w:pos="9360" w:leader="none"/>
      </w:tabs>
      <w:spacing w:before="0" w:after="40"/>
      <w:rPr/>
    </w:pPr>
    <w:r>
      <w:rPr/>
      <w:drawing>
        <wp:inline distT="0" distB="0" distL="0" distR="0">
          <wp:extent cx="1219200" cy="314325"/>
          <wp:effectExtent l="0" t="0" r="0" b="0"/>
          <wp:docPr id="3" name="Image2" descr="Grace Design Studios&#10;Grace Design Studi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" descr="Grace Design Studios&#10;Grace Design Studios lo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B6B77"/>
        <w:sz w:val="16"/>
        <w:szCs w:val="16"/>
      </w:rPr>
      <w:tab/>
      <w:t>RFP-Related Communications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460" w:hanging="25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20" w:hanging="250"/>
      </w:pPr>
      <w:rPr>
        <w:rFonts w:ascii="Symbol" w:hAnsi="Symbol" w:cs="Symbol" w:hint="default"/>
      </w:r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73"/>
  <w:trackRevisions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color w:val="201820"/>
        <w:sz w:val="21"/>
        <w:szCs w:val="21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201820"/>
      <w:kern w:val="0"/>
      <w:sz w:val="21"/>
      <w:szCs w:val="21"/>
      <w:lang w:val="en-US" w:eastAsia="en-US" w:bidi="ar-SA"/>
    </w:rPr>
  </w:style>
  <w:style w:type="paragraph" w:styleId="Heading1">
    <w:name w:val="Heading 1"/>
    <w:uiPriority w:val="9"/>
    <w:qFormat/>
    <w:pPr>
      <w:widowControl/>
      <w:pBdr>
        <w:bottom w:val="single" w:sz="8" w:space="4" w:color="10A0D8"/>
      </w:pBdr>
      <w:bidi w:val="0"/>
      <w:spacing w:before="260" w:after="120"/>
      <w:jc w:val="left"/>
      <w:outlineLvl w:val="0"/>
    </w:pPr>
    <w:rPr>
      <w:rFonts w:ascii="Arial" w:hAnsi="Arial" w:eastAsia="Arial" w:cs="Arial"/>
      <w:b/>
      <w:bCs/>
      <w:color w:val="0C6F9E"/>
      <w:kern w:val="0"/>
      <w:sz w:val="30"/>
      <w:szCs w:val="30"/>
      <w:lang w:val="en-US" w:eastAsia="en-US" w:bidi="ar-SA"/>
    </w:rPr>
  </w:style>
  <w:style w:type="paragraph" w:styleId="Heading2">
    <w:name w:val="Heading 2"/>
    <w:uiPriority w:val="9"/>
    <w:unhideWhenUsed/>
    <w:qFormat/>
    <w:pPr>
      <w:widowControl/>
      <w:bidi w:val="0"/>
      <w:spacing w:before="200" w:after="80"/>
      <w:jc w:val="left"/>
      <w:outlineLvl w:val="1"/>
    </w:pPr>
    <w:rPr>
      <w:rFonts w:ascii="Arial" w:hAnsi="Arial" w:eastAsia="Arial" w:cs="Arial"/>
      <w:b/>
      <w:bCs/>
      <w:color w:val="0A3A54"/>
      <w:kern w:val="0"/>
      <w:sz w:val="24"/>
      <w:szCs w:val="24"/>
      <w:lang w:val="en-US" w:eastAsia="en-US" w:bidi="ar-SA"/>
    </w:rPr>
  </w:style>
  <w:style w:type="paragraph" w:styleId="Heading3">
    <w:name w:val="Heading 3"/>
    <w:uiPriority w:val="9"/>
    <w:semiHidden/>
    <w:unhideWhenUsed/>
    <w:qFormat/>
    <w:pPr>
      <w:widowControl/>
      <w:bidi w:val="0"/>
      <w:spacing w:before="140" w:after="40"/>
      <w:jc w:val="left"/>
      <w:outlineLvl w:val="2"/>
    </w:pPr>
    <w:rPr>
      <w:rFonts w:ascii="Arial" w:hAnsi="Arial" w:eastAsia="Arial" w:cs="Arial"/>
      <w:b/>
      <w:bCs/>
      <w:color w:val="201820"/>
      <w:kern w:val="0"/>
      <w:sz w:val="21"/>
      <w:szCs w:val="21"/>
      <w:lang w:val="en-US" w:eastAsia="en-US" w:bidi="ar-SA"/>
    </w:rPr>
  </w:style>
  <w:style w:type="paragraph" w:styleId="Heading4">
    <w:name w:val="Heading 4"/>
    <w:uiPriority w:val="9"/>
    <w:semiHidden/>
    <w:unhideWhenUsed/>
    <w:qFormat/>
    <w:pPr>
      <w:widowControl/>
      <w:bidi w:val="0"/>
      <w:spacing w:before="0" w:after="0"/>
      <w:jc w:val="left"/>
      <w:outlineLvl w:val="3"/>
    </w:pPr>
    <w:rPr>
      <w:rFonts w:ascii="Arial" w:hAnsi="Arial" w:eastAsia="Arial" w:cs="Arial"/>
      <w:i/>
      <w:iCs/>
      <w:color w:val="2E74B5"/>
      <w:kern w:val="0"/>
      <w:sz w:val="21"/>
      <w:szCs w:val="21"/>
      <w:lang w:val="en-US" w:eastAsia="en-US" w:bidi="ar-SA"/>
    </w:rPr>
  </w:style>
  <w:style w:type="paragraph" w:styleId="Heading5">
    <w:name w:val="Heading 5"/>
    <w:uiPriority w:val="9"/>
    <w:semiHidden/>
    <w:unhideWhenUsed/>
    <w:qFormat/>
    <w:pPr>
      <w:widowControl/>
      <w:bidi w:val="0"/>
      <w:spacing w:before="0" w:after="0"/>
      <w:jc w:val="left"/>
      <w:outlineLvl w:val="4"/>
    </w:pPr>
    <w:rPr>
      <w:rFonts w:ascii="Arial" w:hAnsi="Arial" w:eastAsia="Arial" w:cs="Arial"/>
      <w:color w:val="2E74B5"/>
      <w:kern w:val="0"/>
      <w:sz w:val="21"/>
      <w:szCs w:val="21"/>
      <w:lang w:val="en-US" w:eastAsia="en-US" w:bidi="ar-SA"/>
    </w:rPr>
  </w:style>
  <w:style w:type="paragraph" w:styleId="Heading6">
    <w:name w:val="Heading 6"/>
    <w:uiPriority w:val="9"/>
    <w:semiHidden/>
    <w:unhideWhenUsed/>
    <w:qFormat/>
    <w:pPr>
      <w:widowControl/>
      <w:bidi w:val="0"/>
      <w:spacing w:before="0" w:after="0"/>
      <w:jc w:val="left"/>
      <w:outlineLvl w:val="5"/>
    </w:pPr>
    <w:rPr>
      <w:rFonts w:ascii="Arial" w:hAnsi="Arial" w:eastAsia="Arial" w:cs="Arial"/>
      <w:color w:val="1F4D78"/>
      <w:kern w:val="0"/>
      <w:sz w:val="21"/>
      <w:szCs w:val="21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 w:customStyle="1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 w:customStyle="1">
    <w:name w:val="Endnote Text Char"/>
    <w:link w:val="EndnoteText"/>
    <w:uiPriority w:val="99"/>
    <w:semiHidden/>
    <w:unhideWhenUsed/>
    <w:qFormat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d7a1b"/>
    <w:rPr>
      <w:sz w:val="16"/>
      <w:szCs w:val="16"/>
    </w:rPr>
  </w:style>
  <w:style w:type="character" w:styleId="CommentTextChar" w:customStyle="1">
    <w:name w:val="Comment Text Char"/>
    <w:basedOn w:val="DefaultParagraphFont"/>
    <w:link w:val="AnnotationText"/>
    <w:uiPriority w:val="99"/>
    <w:qFormat/>
    <w:rsid w:val="00ad7a1b"/>
    <w:rPr>
      <w:sz w:val="20"/>
      <w:szCs w:val="20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sid w:val="00ad7a1b"/>
    <w:rPr>
      <w:b/>
      <w:bCs/>
      <w:sz w:val="20"/>
      <w:szCs w:val="20"/>
    </w:rPr>
  </w:style>
  <w:style w:type="character" w:styleId="LineNumber">
    <w:name w:val="Line Number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itle">
    <w:name w:val="Title"/>
    <w:uiPriority w:val="10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201820"/>
      <w:kern w:val="0"/>
      <w:sz w:val="56"/>
      <w:szCs w:val="56"/>
      <w:lang w:val="en-US" w:eastAsia="en-US" w:bidi="ar-SA"/>
    </w:rPr>
  </w:style>
  <w:style w:type="paragraph" w:styleId="Strong1" w:customStyle="1">
    <w:name w:val="Strong1"/>
    <w:qFormat/>
    <w:pPr>
      <w:widowControl/>
      <w:bidi w:val="0"/>
      <w:spacing w:before="0" w:after="0"/>
      <w:jc w:val="left"/>
    </w:pPr>
    <w:rPr>
      <w:rFonts w:ascii="Arial" w:hAnsi="Arial" w:eastAsia="Arial" w:cs="Arial"/>
      <w:b/>
      <w:bCs/>
      <w:color w:val="201820"/>
      <w:kern w:val="0"/>
      <w:sz w:val="21"/>
      <w:szCs w:val="21"/>
      <w:lang w:val="en-US" w:eastAsia="en-US" w:bidi="ar-SA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201820"/>
      <w:kern w:val="0"/>
      <w:sz w:val="21"/>
      <w:szCs w:val="21"/>
      <w:lang w:val="en-US" w:eastAsia="en-US" w:bidi="ar-SA"/>
    </w:rPr>
  </w:style>
  <w:style w:type="paragraph" w:styleId="FootnoteText">
    <w:name w:val="Footnote Text"/>
    <w:link w:val="FootnoteTextChar"/>
    <w:uiPriority w:val="99"/>
    <w:semiHidden/>
    <w:unhideWhenUsed/>
    <w:pPr>
      <w:widowControl/>
      <w:bidi w:val="0"/>
      <w:spacing w:before="0" w:after="0"/>
      <w:jc w:val="left"/>
    </w:pPr>
    <w:rPr>
      <w:rFonts w:ascii="Arial" w:hAnsi="Arial" w:eastAsia="Arial" w:cs="Arial"/>
      <w:color w:val="201820"/>
      <w:kern w:val="0"/>
      <w:sz w:val="20"/>
      <w:szCs w:val="20"/>
      <w:lang w:val="en-US" w:eastAsia="en-US" w:bidi="ar-SA"/>
    </w:rPr>
  </w:style>
  <w:style w:type="paragraph" w:styleId="EndnoteText">
    <w:name w:val="Endnote Text"/>
    <w:link w:val="EndnoteTextChar"/>
    <w:uiPriority w:val="99"/>
    <w:semiHidden/>
    <w:unhideWhenUsed/>
    <w:pPr>
      <w:widowControl/>
      <w:bidi w:val="0"/>
      <w:spacing w:before="0" w:after="0"/>
      <w:jc w:val="left"/>
    </w:pPr>
    <w:rPr>
      <w:rFonts w:ascii="Arial" w:hAnsi="Arial" w:eastAsia="Arial" w:cs="Arial"/>
      <w:color w:val="201820"/>
      <w:kern w:val="0"/>
      <w:sz w:val="20"/>
      <w:szCs w:val="20"/>
      <w:lang w:val="en-US" w:eastAsia="en-US" w:bidi="ar-SA"/>
    </w:rPr>
  </w:style>
  <w:style w:type="paragraph" w:styleId="Revision">
    <w:name w:val="Revision"/>
    <w:uiPriority w:val="99"/>
    <w:semiHidden/>
    <w:qFormat/>
    <w:rsid w:val="00ad7a1b"/>
    <w:pPr>
      <w:widowControl/>
      <w:bidi w:val="0"/>
      <w:spacing w:before="0" w:after="0"/>
      <w:jc w:val="left"/>
    </w:pPr>
    <w:rPr>
      <w:rFonts w:ascii="Arial" w:hAnsi="Arial" w:eastAsia="Arial" w:cs="Arial"/>
      <w:color w:val="201820"/>
      <w:kern w:val="0"/>
      <w:sz w:val="21"/>
      <w:szCs w:val="21"/>
      <w:lang w:val="en-US" w:eastAsia="en-US" w:bidi="ar-SA"/>
    </w:rPr>
  </w:style>
  <w:style w:type="paragraph" w:styleId="AnnotationText">
    <w:name w:val="Annotation Text"/>
    <w:basedOn w:val="Normal"/>
    <w:link w:val="CommentTextChar"/>
    <w:uiPriority w:val="99"/>
    <w:unhideWhenUsed/>
    <w:rsid w:val="00ad7a1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unhideWhenUsed/>
    <w:qFormat/>
    <w:rsid w:val="00ad7a1b"/>
    <w:pPr/>
    <w:rPr>
      <w:b/>
      <w:bCs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Application>LibreOffice/24.2.7.2$Linux_X86_64 LibreOffice_project/420$Build-2</Application>
  <AppVersion>15.0000</AppVersion>
  <Pages>10</Pages>
  <Words>788</Words>
  <Characters>4530</Characters>
  <CharactersWithSpaces>5258</CharactersWithSpaces>
  <Paragraphs>87</Paragraphs>
  <Company>GHC - Project Online Desktop Client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2026-07-08T17:04:00Z</dcterms:created>
  <dc:creator>Un-named</dc:creator>
  <dc:description/>
  <dc:language>en-US</dc:language>
  <cp:lastModifiedBy/>
  <dcterms:modified xsi:type="dcterms:W3CDTF">2026-07-13T11:44:17Z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