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0"/>
        <w:rPr/>
      </w:pPr>
      <w:r>
        <w:rPr>
          <w:b/>
          <w:color w:val="0C6F9E"/>
          <w:sz w:val="26"/>
        </w:rPr>
        <w:t>GRACE DESIGN STUDIOS</w:t>
      </w:r>
    </w:p>
    <w:p>
      <w:pPr>
        <w:pStyle w:val="Normal"/>
        <w:spacing w:before="0" w:after="120"/>
        <w:rPr/>
      </w:pPr>
      <w:r>
        <w:rPr>
          <w:color w:val="5B6B77"/>
          <w:sz w:val="18"/>
        </w:rPr>
        <w:t>Design that Defines. Impact that Endures.</w:t>
      </w:r>
    </w:p>
    <w:p>
      <w:pPr>
        <w:pStyle w:val="Normal"/>
        <w:spacing w:before="0" w:after="20"/>
        <w:rPr/>
      </w:pPr>
      <w:r>
        <w:rPr>
          <w:b/>
          <w:color w:val="10A0D8"/>
          <w:sz w:val="20"/>
        </w:rPr>
        <w:t>GO / NO-GO DECISION SCORING CHART</w:t>
      </w:r>
    </w:p>
    <w:p>
      <w:pPr>
        <w:pStyle w:val="Normal"/>
        <w:spacing w:before="0" w:after="20"/>
        <w:rPr/>
      </w:pPr>
      <w:r>
        <w:rPr>
          <w:b/>
          <w:color w:val="0A3A54"/>
          <w:sz w:val="40"/>
        </w:rPr>
        <w:t>Oakhaven Public Safety Campus</w:t>
      </w:r>
    </w:p>
    <w:p>
      <w:pPr>
        <w:pStyle w:val="Normal"/>
        <w:spacing w:before="0" w:after="120"/>
        <w:rPr/>
      </w:pPr>
      <w:r>
        <w:rPr>
          <w:color w:val="211F20"/>
          <w:sz w:val="23"/>
        </w:rPr>
        <w:t>Grace's pursuit-decision tool, completed at RFP receipt — the first decision the PM inherits</w:t>
      </w:r>
    </w:p>
    <w:p>
      <w:pPr>
        <w:pStyle w:val="Normal"/>
        <w:spacing w:before="0" w:after="160"/>
        <w:rPr/>
      </w:pPr>
      <w:r>
        <w:rPr>
          <w:i/>
          <w:color w:val="5B6B77"/>
          <w:sz w:val="18"/>
        </w:rPr>
        <w:t>Fictional training exemplar prepared for the GRACE PM Academy. This is a faithful, filled instance of Grace's actual Go / No-Go Decision Scoring Chart. Names and figures are illustrative.</w:t>
      </w:r>
    </w:p>
    <w:tbl>
      <w:tblPr>
        <w:tblW w:w="98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500"/>
        <w:gridCol w:w="7339"/>
      </w:tblGrid>
      <w:tr>
        <w:trPr/>
        <w:tc>
          <w:tcPr>
            <w:tcW w:w="2500" w:type="dxa"/>
            <w:tcBorders/>
            <w:shd w:color="auto" w:fill="E4F3FB" w:val="clear"/>
            <w:vAlign w:val="center"/>
          </w:tcPr>
          <w:p>
            <w:pPr>
              <w:pStyle w:val="Normal"/>
              <w:spacing w:before="0" w:after="20"/>
              <w:rPr/>
            </w:pPr>
            <w:r>
              <w:rPr>
                <w:b/>
                <w:color w:val="0C6F9E"/>
                <w:sz w:val="19"/>
              </w:rPr>
              <w:t>Opportunity</w:t>
            </w:r>
          </w:p>
        </w:tc>
        <w:tc>
          <w:tcPr>
            <w:tcW w:w="7339" w:type="dxa"/>
            <w:tcBorders/>
            <w:shd w:color="auto" w:fill="E4F3FB" w:val="clear"/>
            <w:vAlign w:val="center"/>
          </w:tcPr>
          <w:p>
            <w:pPr>
              <w:pStyle w:val="Normal"/>
              <w:spacing w:before="0" w:after="20"/>
              <w:rPr/>
            </w:pPr>
            <w:r>
              <w:rPr>
                <w:color w:val="211F20"/>
                <w:sz w:val="19"/>
              </w:rPr>
              <w:t>Oakhaven Public Safety Campus (No. GRC-26-0142) — 55,000 GSF, Risk Category IV essential facility</w:t>
            </w:r>
          </w:p>
        </w:tc>
      </w:tr>
      <w:tr>
        <w:trPr/>
        <w:tc>
          <w:tcPr>
            <w:tcW w:w="2500" w:type="dxa"/>
            <w:tcBorders/>
            <w:shd w:color="auto" w:fill="E4F3FB" w:val="clear"/>
            <w:vAlign w:val="center"/>
          </w:tcPr>
          <w:p>
            <w:pPr>
              <w:pStyle w:val="Normal"/>
              <w:spacing w:before="0" w:after="20"/>
              <w:rPr/>
            </w:pPr>
            <w:r>
              <w:rPr>
                <w:b/>
                <w:color w:val="0C6F9E"/>
                <w:sz w:val="19"/>
              </w:rPr>
              <w:t>Owner / Decision-Maker</w:t>
            </w:r>
          </w:p>
        </w:tc>
        <w:tc>
          <w:tcPr>
            <w:tcW w:w="7339" w:type="dxa"/>
            <w:tcBorders/>
            <w:shd w:color="auto" w:fill="E4F3FB" w:val="clear"/>
            <w:vAlign w:val="center"/>
          </w:tcPr>
          <w:p>
            <w:pPr>
              <w:pStyle w:val="Normal"/>
              <w:spacing w:before="0" w:after="20"/>
              <w:rPr/>
            </w:pPr>
            <w:r>
              <w:rPr>
                <w:color w:val="211F20"/>
                <w:sz w:val="19"/>
              </w:rPr>
              <w:t xml:space="preserve">City of Oakhaven, LA — Office of Emergency Preparedness · Karen Whitfield, Director</w:t>
            </w:r>
          </w:p>
        </w:tc>
      </w:tr>
      <w:tr>
        <w:trPr/>
        <w:tc>
          <w:tcPr>
            <w:tcW w:w="2500" w:type="dxa"/>
            <w:tcBorders/>
            <w:shd w:color="auto" w:fill="E4F3FB" w:val="clear"/>
            <w:vAlign w:val="center"/>
          </w:tcPr>
          <w:p>
            <w:pPr>
              <w:pStyle w:val="Normal"/>
              <w:spacing w:before="0" w:after="20"/>
              <w:rPr/>
            </w:pPr>
            <w:r>
              <w:rPr>
                <w:b/>
                <w:color w:val="0C6F9E"/>
                <w:sz w:val="19"/>
              </w:rPr>
              <w:t>Source</w:t>
            </w:r>
          </w:p>
        </w:tc>
        <w:tc>
          <w:tcPr>
            <w:tcW w:w="7339" w:type="dxa"/>
            <w:tcBorders/>
            <w:shd w:color="auto" w:fill="E4F3FB" w:val="clear"/>
            <w:vAlign w:val="center"/>
          </w:tcPr>
          <w:p>
            <w:pPr>
              <w:pStyle w:val="Normal"/>
              <w:spacing w:before="0" w:after="20"/>
              <w:rPr/>
            </w:pPr>
            <w:r>
              <w:rPr>
                <w:color w:val="211F20"/>
                <w:sz w:val="19"/>
              </w:rPr>
              <w:t>RFP No. OEP-2026-004 (issued May 18, 2026; proposals due June 19, 2026)</w:t>
            </w:r>
          </w:p>
        </w:tc>
      </w:tr>
      <w:tr>
        <w:trPr/>
        <w:tc>
          <w:tcPr>
            <w:tcW w:w="2500" w:type="dxa"/>
            <w:tcBorders/>
            <w:shd w:color="auto" w:fill="E4F3FB" w:val="clear"/>
            <w:vAlign w:val="center"/>
          </w:tcPr>
          <w:p>
            <w:pPr>
              <w:pStyle w:val="Normal"/>
              <w:spacing w:before="0" w:after="20"/>
              <w:rPr/>
            </w:pPr>
            <w:r>
              <w:rPr>
                <w:b/>
                <w:color w:val="0C6F9E"/>
                <w:sz w:val="19"/>
              </w:rPr>
              <w:t>Screened by / date</w:t>
            </w:r>
          </w:p>
        </w:tc>
        <w:tc>
          <w:tcPr>
            <w:tcW w:w="7339" w:type="dxa"/>
            <w:tcBorders/>
            <w:shd w:color="auto" w:fill="E4F3FB" w:val="clear"/>
            <w:vAlign w:val="center"/>
          </w:tcPr>
          <w:p>
            <w:pPr>
              <w:pStyle w:val="Normal"/>
              <w:spacing w:before="0" w:after="20"/>
              <w:rPr/>
            </w:pPr>
            <w:r>
              <w:rPr>
                <w:color w:val="211F20"/>
                <w:sz w:val="19"/>
              </w:rPr>
              <w:t>Marcus Webb, AIA (PIC) with Elena Cross (Marketing) — May 20, 2026</w:t>
            </w:r>
          </w:p>
        </w:tc>
      </w:tr>
      <w:tr>
        <w:trPr/>
        <w:tc>
          <w:tcPr>
            <w:tcW w:w="2500" w:type="dxa"/>
            <w:tcBorders/>
            <w:shd w:color="auto" w:fill="E4F3FB" w:val="clear"/>
            <w:vAlign w:val="center"/>
          </w:tcPr>
          <w:p>
            <w:pPr>
              <w:pStyle w:val="Normal"/>
              <w:spacing w:before="0" w:after="20"/>
              <w:rPr/>
            </w:pPr>
            <w:r>
              <w:rPr>
                <w:b/>
                <w:color w:val="0C6F9E"/>
                <w:sz w:val="19"/>
              </w:rPr>
              <w:t>Proposed PM</w:t>
            </w:r>
          </w:p>
        </w:tc>
        <w:tc>
          <w:tcPr>
            <w:tcW w:w="7339" w:type="dxa"/>
            <w:tcBorders/>
            <w:shd w:color="auto" w:fill="E4F3FB" w:val="clear"/>
            <w:vAlign w:val="center"/>
          </w:tcPr>
          <w:p>
            <w:pPr>
              <w:pStyle w:val="Normal"/>
              <w:spacing w:before="0" w:after="20"/>
              <w:rPr/>
            </w:pPr>
            <w:r>
              <w:rPr>
                <w:color w:val="211F20"/>
                <w:sz w:val="19"/>
              </w:rPr>
              <w:t>Dana Reyes</w:t>
            </w:r>
          </w:p>
        </w:tc>
      </w:tr>
    </w:tbl>
    <w:p>
      <w:pPr>
        <w:pStyle w:val="Normal"/>
        <w:spacing w:before="60" w:after="140"/>
        <w:rPr/>
      </w:pPr>
      <w:r>
        <w:rPr/>
      </w:r>
    </w:p>
    <w:tbl>
      <w:tblPr>
        <w:tblStyle w:val="TableGrid"/>
        <w:tblW w:w="98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80"/>
        <w:gridCol w:w="2239"/>
        <w:gridCol w:w="1881"/>
        <w:gridCol w:w="1879"/>
        <w:gridCol w:w="1880"/>
        <w:gridCol w:w="980"/>
      </w:tblGrid>
      <w:tr>
        <w:trPr/>
        <w:tc>
          <w:tcPr>
            <w:tcW w:w="3219" w:type="dxa"/>
            <w:gridSpan w:val="2"/>
            <w:tcBorders/>
            <w:shd w:color="auto" w:fill="15A1DA"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24"/>
                <w:szCs w:val="22"/>
                <w:lang w:val="en-US" w:eastAsia="en-US" w:bidi="ar-SA"/>
              </w:rPr>
              <w:t>Relevant Factors</w:t>
            </w:r>
          </w:p>
        </w:tc>
        <w:tc>
          <w:tcPr>
            <w:tcW w:w="5640" w:type="dxa"/>
            <w:gridSpan w:val="3"/>
            <w:tcBorders/>
            <w:shd w:color="auto" w:fill="15A1DA"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24"/>
                <w:szCs w:val="22"/>
                <w:lang w:val="en-US" w:eastAsia="en-US" w:bidi="ar-SA"/>
              </w:rPr>
              <w:t>Factoring Scoring Scale</w:t>
            </w:r>
          </w:p>
        </w:tc>
        <w:tc>
          <w:tcPr>
            <w:tcW w:w="980" w:type="dxa"/>
            <w:tcBorders/>
            <w:shd w:color="auto" w:fill="15A1DA"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22"/>
                <w:szCs w:val="22"/>
                <w:lang w:val="en-US" w:eastAsia="en-US" w:bidi="ar-SA"/>
              </w:rPr>
              <w:t>Score</w:t>
            </w:r>
          </w:p>
        </w:tc>
      </w:tr>
      <w:tr>
        <w:trPr/>
        <w:tc>
          <w:tcPr>
            <w:tcW w:w="3219" w:type="dxa"/>
            <w:gridSpan w:val="2"/>
            <w:tcBorders/>
            <w:shd w:color="auto" w:fill="15A1DA"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color w:val="FFFFFF"/>
                <w:kern w:val="0"/>
                <w:sz w:val="16"/>
                <w:szCs w:val="22"/>
                <w:lang w:val="en-US" w:eastAsia="en-US" w:bidi="ar-SA"/>
              </w:rPr>
              <w:t xml:space="preserve"> </w:t>
            </w:r>
          </w:p>
        </w:tc>
        <w:tc>
          <w:tcPr>
            <w:tcW w:w="1881" w:type="dxa"/>
            <w:tcBorders/>
            <w:shd w:color="auto" w:fill="3CB4E3"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17"/>
                <w:szCs w:val="22"/>
                <w:lang w:val="en-US" w:eastAsia="en-US" w:bidi="ar-SA"/>
              </w:rPr>
              <w:t>NEGATIVE</w:t>
            </w:r>
          </w:p>
          <w:p>
            <w:pPr>
              <w:pStyle w:val="Normal"/>
              <w:widowControl/>
              <w:spacing w:lineRule="auto" w:line="240" w:before="0" w:after="20"/>
              <w:jc w:val="center"/>
              <w:rPr>
                <w:rFonts w:eastAsia="ＭＳ 明朝" w:cs=""/>
                <w:kern w:val="0"/>
                <w:szCs w:val="22"/>
                <w:lang w:val="en-US" w:eastAsia="en-US" w:bidi="ar-SA"/>
              </w:rPr>
            </w:pPr>
            <w:r>
              <w:rPr>
                <w:rFonts w:eastAsia="ＭＳ 明朝" w:cs=""/>
                <w:color w:val="FFFFFF"/>
                <w:kern w:val="0"/>
                <w:sz w:val="16"/>
                <w:szCs w:val="22"/>
                <w:lang w:val="en-US" w:eastAsia="en-US" w:bidi="ar-SA"/>
              </w:rPr>
              <w:t>(0–1 POINTS)</w:t>
            </w:r>
          </w:p>
        </w:tc>
        <w:tc>
          <w:tcPr>
            <w:tcW w:w="1879" w:type="dxa"/>
            <w:tcBorders/>
            <w:shd w:color="auto" w:fill="3CB4E3"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17"/>
                <w:szCs w:val="22"/>
                <w:lang w:val="en-US" w:eastAsia="en-US" w:bidi="ar-SA"/>
              </w:rPr>
              <w:t>NEUTRAL</w:t>
            </w:r>
          </w:p>
          <w:p>
            <w:pPr>
              <w:pStyle w:val="Normal"/>
              <w:widowControl/>
              <w:spacing w:lineRule="auto" w:line="240" w:before="0" w:after="20"/>
              <w:jc w:val="center"/>
              <w:rPr>
                <w:rFonts w:eastAsia="ＭＳ 明朝" w:cs=""/>
                <w:kern w:val="0"/>
                <w:szCs w:val="22"/>
                <w:lang w:val="en-US" w:eastAsia="en-US" w:bidi="ar-SA"/>
              </w:rPr>
            </w:pPr>
            <w:r>
              <w:rPr>
                <w:rFonts w:eastAsia="ＭＳ 明朝" w:cs=""/>
                <w:color w:val="FFFFFF"/>
                <w:kern w:val="0"/>
                <w:sz w:val="16"/>
                <w:szCs w:val="22"/>
                <w:lang w:val="en-US" w:eastAsia="en-US" w:bidi="ar-SA"/>
              </w:rPr>
              <w:t>(2 POINTS)</w:t>
            </w:r>
          </w:p>
        </w:tc>
        <w:tc>
          <w:tcPr>
            <w:tcW w:w="1880" w:type="dxa"/>
            <w:tcBorders/>
            <w:shd w:color="auto" w:fill="3CB4E3"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FFFFFF"/>
                <w:kern w:val="0"/>
                <w:sz w:val="17"/>
                <w:szCs w:val="22"/>
                <w:lang w:val="en-US" w:eastAsia="en-US" w:bidi="ar-SA"/>
              </w:rPr>
              <w:t>POSITIVE</w:t>
            </w:r>
          </w:p>
          <w:p>
            <w:pPr>
              <w:pStyle w:val="Normal"/>
              <w:widowControl/>
              <w:spacing w:lineRule="auto" w:line="240" w:before="0" w:after="20"/>
              <w:jc w:val="center"/>
              <w:rPr>
                <w:rFonts w:eastAsia="ＭＳ 明朝" w:cs=""/>
                <w:kern w:val="0"/>
                <w:szCs w:val="22"/>
                <w:lang w:val="en-US" w:eastAsia="en-US" w:bidi="ar-SA"/>
              </w:rPr>
            </w:pPr>
            <w:r>
              <w:rPr>
                <w:rFonts w:eastAsia="ＭＳ 明朝" w:cs=""/>
                <w:color w:val="FFFFFF"/>
                <w:kern w:val="0"/>
                <w:sz w:val="16"/>
                <w:szCs w:val="22"/>
                <w:lang w:val="en-US" w:eastAsia="en-US" w:bidi="ar-SA"/>
              </w:rPr>
              <w:t>(3 POINTS)</w:t>
            </w:r>
          </w:p>
        </w:tc>
        <w:tc>
          <w:tcPr>
            <w:tcW w:w="980" w:type="dxa"/>
            <w:tcBorders/>
            <w:shd w:color="auto" w:fill="3CB4E3"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color w:val="FFFFFF"/>
                <w:kern w:val="0"/>
                <w:sz w:val="16"/>
                <w:szCs w:val="22"/>
                <w:lang w:val="en-US" w:eastAsia="en-US" w:bidi="ar-SA"/>
              </w:rPr>
              <w:t xml:space="preserve"> </w:t>
            </w:r>
          </w:p>
        </w:tc>
      </w:tr>
      <w:tr>
        <w:trPr/>
        <w:tc>
          <w:tcPr>
            <w:tcW w:w="980" w:type="dxa"/>
            <w:vMerge w:val="restart"/>
            <w:tcBorders/>
            <w:shd w:color="auto" w:fill="EDEFF1"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0A3A54"/>
                <w:kern w:val="0"/>
                <w:sz w:val="20"/>
                <w:szCs w:val="22"/>
                <w:lang w:val="en-US" w:eastAsia="en-US" w:bidi="ar-SA"/>
              </w:rPr>
              <w:t>Required</w:t>
            </w:r>
          </w:p>
        </w:tc>
        <w:tc>
          <w:tcPr>
            <w:tcW w:w="223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0A3A54"/>
                <w:kern w:val="0"/>
                <w:sz w:val="18"/>
                <w:szCs w:val="22"/>
                <w:lang w:val="en-US" w:eastAsia="en-US" w:bidi="ar-SA"/>
              </w:rPr>
              <w:t>Are we known by the Owner / Decision-Maker?</w:t>
            </w:r>
          </w:p>
        </w:tc>
        <w:tc>
          <w:tcPr>
            <w:tcW w:w="1881"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Unknown to this Owner/Decision-Maker (0 points)</w:t>
            </w:r>
          </w:p>
        </w:tc>
        <w:tc>
          <w:tcPr>
            <w:tcW w:w="1879" w:type="dxa"/>
            <w:tcBorders/>
            <w:shd w:color="auto" w:fill="CFE9F8" w:val="clear"/>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2E6B2E"/>
                <w:kern w:val="0"/>
                <w:sz w:val="18"/>
                <w:szCs w:val="22"/>
                <w:lang w:val="en-US" w:eastAsia="en-US" w:bidi="ar-SA"/>
              </w:rPr>
              <w:t xml:space="preserve">✓  </w:t>
            </w:r>
            <w:r>
              <w:rPr>
                <w:rFonts w:eastAsia="ＭＳ 明朝" w:cs=""/>
                <w:b/>
                <w:color w:val="0A3A54"/>
                <w:kern w:val="0"/>
                <w:sz w:val="17"/>
                <w:szCs w:val="22"/>
                <w:lang w:val="en-US" w:eastAsia="en-US" w:bidi="ar-SA"/>
              </w:rPr>
              <w:t>Known by Owner/Decision-Maker, but not fully cultivated</w:t>
            </w:r>
          </w:p>
        </w:tc>
        <w:tc>
          <w:tcPr>
            <w:tcW w:w="1880"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Well-developed working relationship to Owner/Decision-Maker</w:t>
            </w:r>
          </w:p>
        </w:tc>
        <w:tc>
          <w:tcPr>
            <w:tcW w:w="980" w:type="dxa"/>
            <w:tcBorders/>
            <w:shd w:color="auto" w:fill="CFE9F8"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2E6B2E"/>
                <w:kern w:val="0"/>
                <w:sz w:val="26"/>
                <w:szCs w:val="22"/>
                <w:lang w:val="en-US" w:eastAsia="en-US" w:bidi="ar-SA"/>
              </w:rPr>
              <w:t>2</w:t>
            </w:r>
          </w:p>
        </w:tc>
      </w:tr>
      <w:tr>
        <w:trPr/>
        <w:tc>
          <w:tcPr>
            <w:tcW w:w="980" w:type="dxa"/>
            <w:vMerge w:val="continue"/>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23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0A3A54"/>
                <w:kern w:val="0"/>
                <w:sz w:val="18"/>
                <w:szCs w:val="22"/>
                <w:lang w:val="en-US" w:eastAsia="en-US" w:bidi="ar-SA"/>
              </w:rPr>
              <w:t>Is this the first we have heard of the project? Was it on our “Top 10” List?</w:t>
            </w:r>
          </w:p>
        </w:tc>
        <w:tc>
          <w:tcPr>
            <w:tcW w:w="1881"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Did not know about the project until RFQ/RFP came out; unprepared (0 points)</w:t>
            </w:r>
          </w:p>
        </w:tc>
        <w:tc>
          <w:tcPr>
            <w:tcW w:w="187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Project was known or on Top 10 List but no pre-sale meeting with Owner/Decision-Maker</w:t>
            </w:r>
          </w:p>
        </w:tc>
        <w:tc>
          <w:tcPr>
            <w:tcW w:w="1880" w:type="dxa"/>
            <w:tcBorders/>
            <w:shd w:color="auto" w:fill="CFE9F8" w:val="clear"/>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2E6B2E"/>
                <w:kern w:val="0"/>
                <w:sz w:val="18"/>
                <w:szCs w:val="22"/>
                <w:lang w:val="en-US" w:eastAsia="en-US" w:bidi="ar-SA"/>
              </w:rPr>
              <w:t xml:space="preserve">✓  </w:t>
            </w:r>
            <w:r>
              <w:rPr>
                <w:rFonts w:eastAsia="ＭＳ 明朝" w:cs=""/>
                <w:b/>
                <w:color w:val="0A3A54"/>
                <w:kern w:val="0"/>
                <w:sz w:val="17"/>
                <w:szCs w:val="22"/>
                <w:lang w:val="en-US" w:eastAsia="en-US" w:bidi="ar-SA"/>
              </w:rPr>
              <w:t>Project was on Top 10 List; waiting on RFQ/RFP; Capture plan completed</w:t>
            </w:r>
          </w:p>
        </w:tc>
        <w:tc>
          <w:tcPr>
            <w:tcW w:w="980" w:type="dxa"/>
            <w:tcBorders/>
            <w:shd w:color="auto" w:fill="CFE9F8"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2E6B2E"/>
                <w:kern w:val="0"/>
                <w:sz w:val="26"/>
                <w:szCs w:val="22"/>
                <w:lang w:val="en-US" w:eastAsia="en-US" w:bidi="ar-SA"/>
              </w:rPr>
              <w:t>3</w:t>
            </w:r>
          </w:p>
        </w:tc>
      </w:tr>
      <w:tr>
        <w:trPr/>
        <w:tc>
          <w:tcPr>
            <w:tcW w:w="980" w:type="dxa"/>
            <w:vMerge w:val="restart"/>
            <w:tcBorders/>
            <w:shd w:color="auto" w:fill="EDEFF1"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0A3A54"/>
                <w:kern w:val="0"/>
                <w:sz w:val="20"/>
                <w:szCs w:val="22"/>
                <w:lang w:val="en-US" w:eastAsia="en-US" w:bidi="ar-SA"/>
              </w:rPr>
              <w:t>Quals</w:t>
            </w:r>
          </w:p>
        </w:tc>
        <w:tc>
          <w:tcPr>
            <w:tcW w:w="223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0A3A54"/>
                <w:kern w:val="0"/>
                <w:sz w:val="18"/>
                <w:szCs w:val="22"/>
                <w:lang w:val="en-US" w:eastAsia="en-US" w:bidi="ar-SA"/>
              </w:rPr>
              <w:t>Do we meet the qualifications of the RFQ for portfolio and team?</w:t>
            </w:r>
          </w:p>
        </w:tc>
        <w:tc>
          <w:tcPr>
            <w:tcW w:w="1881"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Capable (1 point)</w:t>
            </w:r>
          </w:p>
        </w:tc>
        <w:tc>
          <w:tcPr>
            <w:tcW w:w="187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Can meet or exceed every requirement</w:t>
            </w:r>
          </w:p>
        </w:tc>
        <w:tc>
          <w:tcPr>
            <w:tcW w:w="1880" w:type="dxa"/>
            <w:tcBorders/>
            <w:shd w:color="auto" w:fill="CFE9F8" w:val="clear"/>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2E6B2E"/>
                <w:kern w:val="0"/>
                <w:sz w:val="18"/>
                <w:szCs w:val="22"/>
                <w:lang w:val="en-US" w:eastAsia="en-US" w:bidi="ar-SA"/>
              </w:rPr>
              <w:t xml:space="preserve">✓  </w:t>
            </w:r>
            <w:r>
              <w:rPr>
                <w:rFonts w:eastAsia="ＭＳ 明朝" w:cs=""/>
                <w:b/>
                <w:color w:val="0A3A54"/>
                <w:kern w:val="0"/>
                <w:sz w:val="17"/>
                <w:szCs w:val="22"/>
                <w:lang w:val="en-US" w:eastAsia="en-US" w:bidi="ar-SA"/>
              </w:rPr>
              <w:t>Technically Superior – in our sweet spot; very competitive</w:t>
            </w:r>
          </w:p>
        </w:tc>
        <w:tc>
          <w:tcPr>
            <w:tcW w:w="980" w:type="dxa"/>
            <w:tcBorders/>
            <w:shd w:color="auto" w:fill="CFE9F8"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2E6B2E"/>
                <w:kern w:val="0"/>
                <w:sz w:val="26"/>
                <w:szCs w:val="22"/>
                <w:lang w:val="en-US" w:eastAsia="en-US" w:bidi="ar-SA"/>
              </w:rPr>
              <w:t>3</w:t>
            </w:r>
          </w:p>
        </w:tc>
      </w:tr>
      <w:tr>
        <w:trPr/>
        <w:tc>
          <w:tcPr>
            <w:tcW w:w="980" w:type="dxa"/>
            <w:vMerge w:val="continue"/>
            <w:tcBorders/>
          </w:tcPr>
          <w:p>
            <w:pPr>
              <w:pStyle w:val="Normal"/>
              <w:widowControl/>
              <w:spacing w:lineRule="auto" w:line="240" w:before="0" w:after="0"/>
              <w:jc w:val="left"/>
              <w:rPr>
                <w:rFonts w:eastAsia="ＭＳ 明朝" w:cs=""/>
                <w:kern w:val="0"/>
                <w:szCs w:val="22"/>
                <w:lang w:val="en-US" w:eastAsia="en-US" w:bidi="ar-SA"/>
              </w:rPr>
            </w:pPr>
            <w:r>
              <w:rPr>
                <w:rFonts w:eastAsia="ＭＳ 明朝" w:cs=""/>
                <w:kern w:val="0"/>
                <w:szCs w:val="22"/>
                <w:lang w:val="en-US" w:eastAsia="en-US" w:bidi="ar-SA"/>
              </w:rPr>
            </w:r>
          </w:p>
        </w:tc>
        <w:tc>
          <w:tcPr>
            <w:tcW w:w="223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0A3A54"/>
                <w:kern w:val="0"/>
                <w:sz w:val="18"/>
                <w:szCs w:val="22"/>
                <w:lang w:val="en-US" w:eastAsia="en-US" w:bidi="ar-SA"/>
              </w:rPr>
              <w:t>Does marketing have adequate time to prepare a tailored submission?</w:t>
            </w:r>
          </w:p>
        </w:tc>
        <w:tc>
          <w:tcPr>
            <w:tcW w:w="1881"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One week or less to due date (0 points)</w:t>
            </w:r>
          </w:p>
        </w:tc>
        <w:tc>
          <w:tcPr>
            <w:tcW w:w="1879" w:type="dxa"/>
            <w:tcBorders/>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color w:val="211F20"/>
                <w:kern w:val="0"/>
                <w:sz w:val="17"/>
                <w:szCs w:val="22"/>
                <w:lang w:val="en-US" w:eastAsia="en-US" w:bidi="ar-SA"/>
              </w:rPr>
              <w:t>Two weeks or less to due date</w:t>
            </w:r>
          </w:p>
        </w:tc>
        <w:tc>
          <w:tcPr>
            <w:tcW w:w="1880" w:type="dxa"/>
            <w:tcBorders/>
            <w:shd w:color="auto" w:fill="CFE9F8" w:val="clear"/>
            <w:vAlign w:val="center"/>
          </w:tcPr>
          <w:p>
            <w:pPr>
              <w:pStyle w:val="Normal"/>
              <w:widowControl/>
              <w:spacing w:lineRule="auto" w:line="240" w:before="0" w:after="20"/>
              <w:jc w:val="left"/>
              <w:rPr>
                <w:rFonts w:eastAsia="ＭＳ 明朝" w:cs=""/>
                <w:kern w:val="0"/>
                <w:szCs w:val="22"/>
                <w:lang w:val="en-US" w:eastAsia="en-US" w:bidi="ar-SA"/>
              </w:rPr>
            </w:pPr>
            <w:r>
              <w:rPr>
                <w:rFonts w:eastAsia="ＭＳ 明朝" w:cs=""/>
                <w:b/>
                <w:color w:val="2E6B2E"/>
                <w:kern w:val="0"/>
                <w:sz w:val="18"/>
                <w:szCs w:val="22"/>
                <w:lang w:val="en-US" w:eastAsia="en-US" w:bidi="ar-SA"/>
              </w:rPr>
              <w:t xml:space="preserve">✓  </w:t>
            </w:r>
            <w:r>
              <w:rPr>
                <w:rFonts w:eastAsia="ＭＳ 明朝" w:cs=""/>
                <w:b/>
                <w:color w:val="0A3A54"/>
                <w:kern w:val="0"/>
                <w:sz w:val="17"/>
                <w:szCs w:val="22"/>
                <w:lang w:val="en-US" w:eastAsia="en-US" w:bidi="ar-SA"/>
              </w:rPr>
              <w:t>Over 2 weeks to due date</w:t>
            </w:r>
          </w:p>
        </w:tc>
        <w:tc>
          <w:tcPr>
            <w:tcW w:w="980" w:type="dxa"/>
            <w:tcBorders/>
            <w:shd w:color="auto" w:fill="CFE9F8"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2E6B2E"/>
                <w:kern w:val="0"/>
                <w:sz w:val="26"/>
                <w:szCs w:val="22"/>
                <w:lang w:val="en-US" w:eastAsia="en-US" w:bidi="ar-SA"/>
              </w:rPr>
              <w:t>3</w:t>
            </w:r>
          </w:p>
        </w:tc>
      </w:tr>
      <w:tr>
        <w:trPr/>
        <w:tc>
          <w:tcPr>
            <w:tcW w:w="8859" w:type="dxa"/>
            <w:gridSpan w:val="5"/>
            <w:tcBorders/>
            <w:shd w:color="auto" w:fill="E4F3FB" w:val="clear"/>
            <w:vAlign w:val="center"/>
          </w:tcPr>
          <w:p>
            <w:pPr>
              <w:pStyle w:val="Normal"/>
              <w:widowControl/>
              <w:spacing w:lineRule="auto" w:line="240" w:before="0" w:after="20"/>
              <w:jc w:val="right"/>
              <w:rPr>
                <w:rFonts w:eastAsia="ＭＳ 明朝" w:cs=""/>
                <w:kern w:val="0"/>
                <w:szCs w:val="22"/>
                <w:lang w:val="en-US" w:eastAsia="en-US" w:bidi="ar-SA"/>
              </w:rPr>
            </w:pPr>
            <w:r>
              <w:rPr>
                <w:rFonts w:eastAsia="ＭＳ 明朝" w:cs=""/>
                <w:b/>
                <w:color w:val="0C6F9E"/>
                <w:kern w:val="0"/>
                <w:szCs w:val="22"/>
                <w:lang w:val="en-US" w:eastAsia="en-US" w:bidi="ar-SA"/>
              </w:rPr>
              <w:t>TOTAL SCORE</w:t>
            </w:r>
          </w:p>
        </w:tc>
        <w:tc>
          <w:tcPr>
            <w:tcW w:w="980" w:type="dxa"/>
            <w:tcBorders/>
            <w:shd w:color="auto" w:fill="D8F0D8" w:val="clear"/>
            <w:vAlign w:val="center"/>
          </w:tcPr>
          <w:p>
            <w:pPr>
              <w:pStyle w:val="Normal"/>
              <w:widowControl/>
              <w:spacing w:lineRule="auto" w:line="240" w:before="0" w:after="20"/>
              <w:jc w:val="center"/>
              <w:rPr>
                <w:rFonts w:eastAsia="ＭＳ 明朝" w:cs=""/>
                <w:kern w:val="0"/>
                <w:szCs w:val="22"/>
                <w:lang w:val="en-US" w:eastAsia="en-US" w:bidi="ar-SA"/>
              </w:rPr>
            </w:pPr>
            <w:r>
              <w:rPr>
                <w:rFonts w:eastAsia="ＭＳ 明朝" w:cs=""/>
                <w:b/>
                <w:color w:val="2E6B2E"/>
                <w:kern w:val="0"/>
                <w:sz w:val="30"/>
                <w:szCs w:val="22"/>
                <w:lang w:val="en-US" w:eastAsia="en-US" w:bidi="ar-SA"/>
              </w:rPr>
              <w:t>11</w:t>
            </w:r>
          </w:p>
        </w:tc>
      </w:tr>
    </w:tbl>
    <w:p>
      <w:pPr>
        <w:pStyle w:val="Normal"/>
        <w:spacing w:before="80" w:after="120"/>
        <w:rPr/>
      </w:pPr>
      <w:r>
        <w:rPr/>
      </w:r>
    </w:p>
    <w:p>
      <w:pPr>
        <w:pStyle w:val="Normal"/>
        <w:spacing w:before="0" w:after="160"/>
        <w:rPr/>
      </w:pPr>
      <w:r>
        <w:rPr>
          <w:b/>
          <w:color w:val="2E6B2E"/>
          <w:sz w:val="24"/>
        </w:rPr>
        <w:t xml:space="preserve">DECISION:  GO — 11 of 12.  </w:t>
      </w:r>
      <w:r>
        <w:rPr>
          <w:color w:val="211F20"/>
        </w:rPr>
        <w:t>Strong opportunity: solid qualifications, adequate prep time, an emerging Owner relationship. Pursuit team: Marcus Webb (PIC), Elena Cross (Marketing); Dana Reyes proposed as PM. Proceed to proposal on RFP OEP-2026-004.</w:t>
      </w:r>
    </w:p>
    <w:p>
      <w:pPr>
        <w:pStyle w:val="Normal"/>
        <w:spacing w:before="80" w:after="60"/>
        <w:rPr/>
      </w:pPr>
      <w:r>
        <w:rPr>
          <w:b/>
          <w:color w:val="15A1DA"/>
          <w:sz w:val="22"/>
        </w:rPr>
        <w:t>Tally the total score</w:t>
      </w:r>
    </w:p>
    <w:p>
      <w:pPr>
        <w:pStyle w:val="Normal"/>
        <w:spacing w:before="0" w:after="40"/>
        <w:rPr/>
      </w:pPr>
      <w:r>
        <w:rPr>
          <w:b/>
          <w:color w:val="15A1DA"/>
          <w:sz w:val="20"/>
        </w:rPr>
        <w:t xml:space="preserve">•  </w:t>
      </w:r>
      <w:r>
        <w:rPr>
          <w:b/>
          <w:color w:val="0A3A54"/>
          <w:sz w:val="20"/>
        </w:rPr>
        <w:t>10–12 points = Go</w:t>
      </w:r>
      <w:r>
        <w:rPr>
          <w:color w:val="211F20"/>
          <w:sz w:val="20"/>
        </w:rPr>
        <w:t xml:space="preserve"> — Strong opportunity with solid relationships, prep, and qualifications.</w:t>
      </w:r>
    </w:p>
    <w:p>
      <w:pPr>
        <w:pStyle w:val="Normal"/>
        <w:spacing w:before="0" w:after="40"/>
        <w:rPr/>
      </w:pPr>
      <w:r>
        <w:rPr>
          <w:b/>
          <w:color w:val="15A1DA"/>
          <w:sz w:val="20"/>
        </w:rPr>
        <w:t xml:space="preserve">•  </w:t>
      </w:r>
      <w:r>
        <w:rPr>
          <w:b/>
          <w:color w:val="0A3A54"/>
          <w:sz w:val="20"/>
        </w:rPr>
        <w:t>7–10 points = Maybe</w:t>
      </w:r>
      <w:r>
        <w:rPr>
          <w:color w:val="211F20"/>
          <w:sz w:val="20"/>
        </w:rPr>
        <w:t xml:space="preserve"> — Needs Studio/Practice Leader review before proceeding.</w:t>
      </w:r>
    </w:p>
    <w:p>
      <w:pPr>
        <w:pStyle w:val="Normal"/>
        <w:spacing w:before="0" w:after="40"/>
        <w:rPr/>
      </w:pPr>
      <w:r>
        <w:rPr>
          <w:b/>
          <w:color w:val="15A1DA"/>
          <w:sz w:val="20"/>
        </w:rPr>
        <w:t xml:space="preserve">•  </w:t>
      </w:r>
      <w:r>
        <w:rPr>
          <w:b/>
          <w:color w:val="0A3A54"/>
          <w:sz w:val="20"/>
        </w:rPr>
        <w:t>Below 7 = No-Go</w:t>
      </w:r>
      <w:r>
        <w:rPr>
          <w:color w:val="211F20"/>
          <w:sz w:val="20"/>
        </w:rPr>
        <w:t xml:space="preserve"> — Low strategic value or poor positioning; better to focus elsewhere.</w:t>
      </w:r>
    </w:p>
    <w:p>
      <w:pPr>
        <w:pStyle w:val="Normal"/>
        <w:spacing w:before="120" w:after="40"/>
        <w:rPr/>
      </w:pPr>
      <w:r>
        <w:rPr>
          <w:b/>
          <w:color w:val="15A1DA"/>
        </w:rPr>
        <w:t>Tip</w:t>
      </w:r>
    </w:p>
    <w:p>
      <w:pPr>
        <w:pStyle w:val="Normal"/>
        <w:spacing w:before="0" w:after="160"/>
        <w:rPr/>
      </w:pPr>
      <w:r>
        <w:rPr>
          <w:i/>
          <w:color w:val="211F20"/>
          <w:sz w:val="20"/>
        </w:rPr>
        <w:t>Be honest in scoring—this tool is meant to drive clarity, not force consensus. Also, consider known gaps such as lack of local expertise, missing capture plans, or tight turnaround times. These can reduce our competitiveness even if the score is high.</w:t>
      </w:r>
    </w:p>
    <w:p>
      <w:pPr>
        <w:pStyle w:val="Normal"/>
        <w:spacing w:before="80" w:after="60"/>
        <w:rPr/>
      </w:pPr>
      <w:r>
        <w:rPr>
          <w:b/>
          <w:color w:val="0C6F9E"/>
          <w:sz w:val="22"/>
        </w:rPr>
        <w:t>Scoring notes &amp; known gaps — carry these into the handoff</w:t>
      </w:r>
    </w:p>
    <w:p>
      <w:pPr>
        <w:pStyle w:val="Normal"/>
        <w:spacing w:before="0" w:after="60"/>
        <w:rPr/>
      </w:pPr>
      <w:r>
        <w:rPr>
          <w:b/>
          <w:color w:val="10A0D8"/>
          <w:sz w:val="20"/>
        </w:rPr>
        <w:t xml:space="preserve">•  </w:t>
      </w:r>
      <w:r>
        <w:rPr>
          <w:b/>
          <w:color w:val="0A3A54"/>
          <w:sz w:val="19"/>
        </w:rPr>
        <w:t xml:space="preserve">Relationship scored 2, not 3. </w:t>
      </w:r>
      <w:r>
        <w:rPr>
          <w:color w:val="211F20"/>
          <w:sz w:val="19"/>
        </w:rPr>
        <w:t>The City is a new client — known through early contact but not a cultivated relationship. The PM inherits a relationship to build, not a history to lean on.</w:t>
      </w:r>
    </w:p>
    <w:p>
      <w:pPr>
        <w:pStyle w:val="Normal"/>
        <w:spacing w:before="0" w:after="60"/>
        <w:rPr/>
      </w:pPr>
      <w:r>
        <w:rPr>
          <w:b/>
          <w:color w:val="10A0D8"/>
          <w:sz w:val="20"/>
        </w:rPr>
        <w:t xml:space="preserve">•  </w:t>
      </w:r>
      <w:r>
        <w:rPr>
          <w:b/>
          <w:color w:val="0A3A54"/>
          <w:sz w:val="19"/>
        </w:rPr>
        <w:t xml:space="preserve">Civil by Owner (risk R-11 — see Grace’s Risk Register). </w:t>
      </w:r>
      <w:r>
        <w:rPr>
          <w:color w:val="211F20"/>
          <w:sz w:val="19"/>
        </w:rPr>
        <w:t>Civil / site is contracted directly by the Owner; Grace coordinates a scope it does not control.</w:t>
      </w:r>
    </w:p>
    <w:p>
      <w:pPr>
        <w:pStyle w:val="Normal"/>
        <w:spacing w:before="0" w:after="60"/>
        <w:rPr/>
      </w:pPr>
      <w:r>
        <w:rPr>
          <w:b/>
          <w:color w:val="10A0D8"/>
          <w:sz w:val="20"/>
        </w:rPr>
        <w:t xml:space="preserve">•  </w:t>
      </w:r>
      <w:r>
        <w:rPr>
          <w:b/>
          <w:color w:val="0A3A54"/>
          <w:sz w:val="19"/>
        </w:rPr>
        <w:t xml:space="preserve">Owner-furnished dispatch systems. </w:t>
      </w:r>
      <w:r>
        <w:rPr>
          <w:color w:val="211F20"/>
          <w:sz w:val="19"/>
        </w:rPr>
        <w:t>Consoles and CAD/radio are Owner-Furnished, Contractor-Installed; vendor and selection timing are still unknown.</w:t>
      </w:r>
    </w:p>
    <w:p>
      <w:pPr>
        <w:pStyle w:val="Normal"/>
        <w:spacing w:before="0" w:after="60"/>
        <w:rPr/>
      </w:pPr>
      <w:r>
        <w:rPr>
          <w:b/>
          <w:color w:val="10A0D8"/>
          <w:sz w:val="20"/>
        </w:rPr>
        <w:t xml:space="preserve">•  </w:t>
      </w:r>
      <w:r>
        <w:rPr>
          <w:b/>
          <w:color w:val="0A3A54"/>
          <w:sz w:val="19"/>
        </w:rPr>
        <w:t xml:space="preserve">Schedule intensity. </w:t>
      </w:r>
      <w:r>
        <w:rPr>
          <w:color w:val="211F20"/>
          <w:sz w:val="19"/>
        </w:rPr>
        <w:t>An 8-week Design Development window for a Risk Category IV facility with heavy MEP redundancy is achievable, but tight.</w:t>
      </w:r>
    </w:p>
    <w:p>
      <w:pPr>
        <w:pStyle w:val="Normal"/>
        <w:spacing w:before="0" w:after="60"/>
        <w:rPr/>
      </w:pPr>
      <w:r>
        <w:rPr>
          <w:b/>
          <w:color w:val="10A0D8"/>
          <w:sz w:val="20"/>
        </w:rPr>
        <w:t xml:space="preserve">•  </w:t>
      </w:r>
      <w:r>
        <w:rPr>
          <w:b/>
          <w:color w:val="0A3A54"/>
          <w:sz w:val="19"/>
        </w:rPr>
        <w:t xml:space="preserve">Review-cycle assumption. </w:t>
      </w:r>
      <w:r>
        <w:rPr>
          <w:color w:val="211F20"/>
          <w:sz w:val="19"/>
        </w:rPr>
        <w:t>The fee assumes one consolidated Owner review per phase returned in 10 business days — not yet confirmed with the Owner.</w:t>
      </w:r>
    </w:p>
    <w:p>
      <w:pPr>
        <w:pStyle w:val="Normal"/>
        <w:spacing w:before="60" w:after="0"/>
        <w:rPr/>
      </w:pPr>
      <w:r>
        <w:rPr>
          <w:i/>
          <w:color w:val="5B6B77"/>
          <w:sz w:val="19"/>
        </w:rPr>
        <w:t>These are honest gaps, not reasons to pass — they are exactly what the PM must confirm when the project is handed off.</w:t>
      </w:r>
    </w:p>
    <w:sectPr>
      <w:type w:val="nextPage"/>
      <w:pgSz w:w="12240" w:h="15840"/>
      <w:pgMar w:left="1152" w:right="1152" w:gutter="0" w:header="0" w:top="1080" w:footer="0" w:bottom="10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trackRevisio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Arial" w:hAnsi="Arial"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Arial" w:hAnsi="Arial"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Arial" w:hAnsi="Arial"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Arial" w:hAnsi="Arial"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Arial" w:hAnsi="Arial"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Arial" w:hAnsi="Arial"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Arial" w:hAnsi="Arial"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Arial" w:hAnsi="Arial"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Arial" w:hAnsi="Arial" w:eastAsia="ＭＳ ゴシック"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Arial" w:hAnsi="Arial"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Arial" w:hAnsi="Arial"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Arial" w:hAnsi="Arial"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Arial" w:hAnsi="Arial"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Arial" w:hAnsi="Arial"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Arial" w:hAnsi="Arial"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Arial" w:hAnsi="Arial"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Arial" w:hAnsi="Arial"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Arial" w:hAnsi="Arial"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Arial" w:hAnsi="Arial"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Arial" w:hAnsi="Arial"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annotationreference">
    <w:name w:val="annotation reference"/>
    <w:basedOn w:val="DefaultParagraphFont"/>
    <w:uiPriority w:val="99"/>
    <w:semiHidden/>
    <w:unhideWhenUsed/>
    <w:qFormat/>
    <w:rsid w:val="00256eb4"/>
    <w:rPr>
      <w:sz w:val="16"/>
      <w:szCs w:val="16"/>
    </w:rPr>
  </w:style>
  <w:style w:type="character" w:styleId="CommentTextChar" w:customStyle="1">
    <w:name w:val="Comment Text Char"/>
    <w:basedOn w:val="DefaultParagraphFont"/>
    <w:link w:val="AnnotationText"/>
    <w:uiPriority w:val="99"/>
    <w:qFormat/>
    <w:rsid w:val="00256eb4"/>
    <w:rPr>
      <w:rFonts w:ascii="Arial" w:hAnsi="Arial"/>
      <w:sz w:val="20"/>
      <w:szCs w:val="20"/>
    </w:rPr>
  </w:style>
  <w:style w:type="character" w:styleId="CommentSubjectChar" w:customStyle="1">
    <w:name w:val="Comment Subject Char"/>
    <w:basedOn w:val="CommentTextChar"/>
    <w:link w:val="annotationsubject"/>
    <w:uiPriority w:val="99"/>
    <w:semiHidden/>
    <w:qFormat/>
    <w:rsid w:val="00256eb4"/>
    <w:rPr>
      <w:rFonts w:ascii="Arial" w:hAnsi="Arial"/>
      <w:b/>
      <w:bCs/>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Arial" w:hAnsi="Arial"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Revision">
    <w:name w:val="Revision"/>
    <w:uiPriority w:val="99"/>
    <w:semiHidden/>
    <w:qFormat/>
    <w:rsid w:val="00256eb4"/>
    <w:pPr>
      <w:widowControl/>
      <w:bidi w:val="0"/>
      <w:spacing w:lineRule="auto" w:line="240" w:before="0" w:after="0"/>
      <w:jc w:val="left"/>
    </w:pPr>
    <w:rPr>
      <w:rFonts w:ascii="Arial" w:hAnsi="Arial" w:eastAsia="ＭＳ 明朝" w:cs="" w:cstheme="minorBidi" w:eastAsiaTheme="minorEastAsia"/>
      <w:color w:val="auto"/>
      <w:kern w:val="0"/>
      <w:sz w:val="21"/>
      <w:szCs w:val="22"/>
      <w:lang w:val="en-US" w:eastAsia="en-US" w:bidi="ar-SA"/>
    </w:rPr>
  </w:style>
  <w:style w:type="paragraph" w:styleId="AnnotationText">
    <w:name w:val="Annotation Text"/>
    <w:basedOn w:val="Normal"/>
    <w:link w:val="CommentTextChar"/>
    <w:uiPriority w:val="99"/>
    <w:unhideWhenUsed/>
    <w:rsid w:val="00256eb4"/>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256eb4"/>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LibreOffice/24.2.7.2$Linux_X86_64 LibreOffice_project/420$Build-2</Application>
  <AppVersion>15.0000</AppVersion>
  <Pages>2</Pages>
  <Words>568</Words>
  <Characters>2955</Characters>
  <CharactersWithSpaces>3485</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2026-07-08T13:42:00Z</dcterms:created>
  <dc:creator>python-docx</dc:creator>
  <dc:description>generated by python-docx</dc:description>
  <dc:language>en-US</dc:language>
  <cp:lastModifiedBy>Andrea Bowman</cp:lastModifiedBy>
  <dcterms:modified xsi:type="dcterms:W3CDTF">2026-07-08T21:54:00Z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