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00"/>
        <w:gridCol w:w="2960"/>
      </w:tblGrid>
      <w:tr w:rsidR="000373B1" w14:paraId="744CF2AC" w14:textId="77777777">
        <w:tc>
          <w:tcPr>
            <w:tcW w:w="6400" w:type="dxa"/>
            <w:tcBorders>
              <w:top w:val="none" w:sz="0" w:space="0" w:color="FFFFFF"/>
              <w:left w:val="none" w:sz="0" w:space="0" w:color="FFFFFF"/>
              <w:bottom w:val="none" w:sz="0" w:space="0" w:color="FFFFFF"/>
              <w:right w:val="none" w:sz="0" w:space="0" w:color="FFFFFF"/>
            </w:tcBorders>
            <w:shd w:val="clear" w:color="auto" w:fill="211F20"/>
            <w:tcMar>
              <w:top w:w="200" w:type="dxa"/>
              <w:left w:w="320" w:type="dxa"/>
              <w:bottom w:w="200" w:type="dxa"/>
              <w:right w:w="200" w:type="dxa"/>
            </w:tcMar>
          </w:tcPr>
          <w:p w14:paraId="1FA6EC89" w14:textId="77777777" w:rsidR="000373B1" w:rsidRDefault="00C52EC5">
            <w:pPr>
              <w:spacing w:after="50"/>
            </w:pPr>
            <w:r>
              <w:rPr>
                <w:b/>
                <w:bCs/>
                <w:color w:val="FFFFFF"/>
                <w:sz w:val="44"/>
                <w:szCs w:val="44"/>
              </w:rPr>
              <w:t>Reviewing Pre-Bills in BST11</w:t>
            </w:r>
          </w:p>
          <w:p w14:paraId="61CCF7C5" w14:textId="77777777" w:rsidR="000373B1" w:rsidRDefault="00C52EC5">
            <w:r>
              <w:rPr>
                <w:color w:val="D0EEF8"/>
                <w:sz w:val="20"/>
                <w:szCs w:val="20"/>
              </w:rPr>
              <w:t>A guide to navigating, reviewing, and submitting your monthly Pre-Bill requests.</w:t>
            </w:r>
          </w:p>
        </w:tc>
        <w:tc>
          <w:tcPr>
            <w:tcW w:w="2960" w:type="dxa"/>
            <w:tcBorders>
              <w:top w:val="none" w:sz="0" w:space="0" w:color="FFFFFF"/>
              <w:left w:val="none" w:sz="0" w:space="0" w:color="FFFFFF"/>
              <w:bottom w:val="none" w:sz="0" w:space="0" w:color="FFFFFF"/>
              <w:right w:val="none" w:sz="0" w:space="0" w:color="FFFFFF"/>
            </w:tcBorders>
            <w:shd w:val="clear" w:color="auto" w:fill="15A1DA"/>
            <w:tcMar>
              <w:top w:w="180" w:type="dxa"/>
              <w:left w:w="200" w:type="dxa"/>
              <w:bottom w:w="180" w:type="dxa"/>
              <w:right w:w="200" w:type="dxa"/>
            </w:tcMar>
            <w:vAlign w:val="center"/>
          </w:tcPr>
          <w:p w14:paraId="0F4A1CA8" w14:textId="77777777" w:rsidR="000373B1" w:rsidRDefault="00C52EC5">
            <w:pPr>
              <w:spacing w:after="40"/>
            </w:pPr>
            <w:r>
              <w:rPr>
                <w:b/>
                <w:bCs/>
                <w:caps/>
                <w:color w:val="FFFFFF"/>
                <w:sz w:val="17"/>
                <w:szCs w:val="17"/>
              </w:rPr>
              <w:t>Related resources</w:t>
            </w:r>
          </w:p>
          <w:p w14:paraId="293A1593" w14:textId="77777777" w:rsidR="000373B1" w:rsidRDefault="00C52EC5">
            <w:pPr>
              <w:spacing w:after="20"/>
            </w:pPr>
            <w:r>
              <w:rPr>
                <w:color w:val="D0EEF8"/>
                <w:sz w:val="18"/>
                <w:szCs w:val="18"/>
              </w:rPr>
              <w:t>PM Guide § 2.1–2.5</w:t>
            </w:r>
            <w:r>
              <w:rPr>
                <w:color w:val="534D4E"/>
                <w:sz w:val="18"/>
                <w:szCs w:val="18"/>
              </w:rPr>
              <w:t xml:space="preserve"> — Billing cycle overview</w:t>
            </w:r>
          </w:p>
          <w:p w14:paraId="345A7940" w14:textId="77777777" w:rsidR="000373B1" w:rsidRDefault="00C52EC5">
            <w:pPr>
              <w:spacing w:after="20"/>
            </w:pPr>
            <w:r>
              <w:rPr>
                <w:color w:val="D0EEF8"/>
                <w:sz w:val="18"/>
                <w:szCs w:val="18"/>
              </w:rPr>
              <w:t>PM Guide § 0.5</w:t>
            </w:r>
            <w:r>
              <w:rPr>
                <w:color w:val="534D4E"/>
                <w:sz w:val="18"/>
                <w:szCs w:val="18"/>
              </w:rPr>
              <w:t xml:space="preserve"> — Working with Views</w:t>
            </w:r>
          </w:p>
          <w:p w14:paraId="0DEA65B8" w14:textId="77777777" w:rsidR="000373B1" w:rsidRDefault="00C52EC5">
            <w:r>
              <w:rPr>
                <w:color w:val="D0EEF8"/>
                <w:sz w:val="18"/>
                <w:szCs w:val="18"/>
              </w:rPr>
              <w:t>PM Guide § 2.4</w:t>
            </w:r>
            <w:r>
              <w:rPr>
                <w:color w:val="534D4E"/>
                <w:sz w:val="18"/>
                <w:szCs w:val="18"/>
              </w:rPr>
              <w:t xml:space="preserve"> — Strong Pre-Bill comments</w:t>
            </w:r>
          </w:p>
        </w:tc>
      </w:tr>
    </w:tbl>
    <w:p w14:paraId="47069E7B" w14:textId="77777777" w:rsidR="000373B1" w:rsidRDefault="000373B1">
      <w:pPr>
        <w:spacing w:before="180"/>
      </w:pPr>
    </w:p>
    <w:p w14:paraId="63FAA109" w14:textId="77777777" w:rsidR="000373B1" w:rsidRDefault="00C52EC5">
      <w:pPr>
        <w:pStyle w:val="Heading1"/>
        <w:pBdr>
          <w:bottom w:val="single" w:sz="8" w:space="4" w:color="15A1DA"/>
        </w:pBdr>
      </w:pPr>
      <w:r>
        <w:t>Part 1: Understanding the Monthly Pre-Bill Cycle</w:t>
      </w:r>
    </w:p>
    <w:p w14:paraId="2100B3A2" w14:textId="77777777" w:rsidR="000373B1" w:rsidRDefault="00C52EC5">
      <w:pPr>
        <w:pStyle w:val="Heading2"/>
      </w:pPr>
      <w:r>
        <w:t>1.1  When and How Pre-Bills Are Sent</w:t>
      </w:r>
    </w:p>
    <w:p w14:paraId="32F80DC4" w14:textId="77777777" w:rsidR="000373B1" w:rsidRDefault="00C52EC5">
      <w:pPr>
        <w:spacing w:before="60" w:after="100"/>
      </w:pPr>
      <w:r>
        <w:rPr>
          <w:color w:val="211F20"/>
        </w:rPr>
        <w:t xml:space="preserve">Around the </w:t>
      </w:r>
      <w:r>
        <w:rPr>
          <w:b/>
          <w:bCs/>
          <w:color w:val="211F20"/>
        </w:rPr>
        <w:t>20th of each month</w:t>
      </w:r>
      <w:r>
        <w:rPr>
          <w:color w:val="211F20"/>
        </w:rPr>
        <w:t>, Tara (Director of Project Accounting) distributes Pre-Bill requests through BST11. Each active project you are managing will generate a separate Pre-Bill To-Do in your Navigation Pane. These are not emails — they are workflow items that live inside BST11 and require your direct action to move forward.</w:t>
      </w:r>
    </w:p>
    <w:p w14:paraId="7134EFB7" w14:textId="77777777" w:rsidR="000373B1" w:rsidRDefault="000373B1">
      <w:pPr>
        <w:spacing w:before="80"/>
      </w:pPr>
    </w:p>
    <w:p w14:paraId="16DD45AE" w14:textId="77777777" w:rsidR="000373B1" w:rsidRDefault="00C52EC5">
      <w:pPr>
        <w:spacing w:before="60" w:after="100"/>
      </w:pPr>
      <w:r>
        <w:rPr>
          <w:color w:val="211F20"/>
        </w:rPr>
        <w:t xml:space="preserve">Pre-Bill To-Do's will not always appear the moment they are sent. To ensure you are seeing the latest items, </w:t>
      </w:r>
      <w:r>
        <w:rPr>
          <w:b/>
          <w:bCs/>
          <w:color w:val="211F20"/>
        </w:rPr>
        <w:t>right-click in the To-Do area of the Navigation Pane</w:t>
      </w:r>
      <w:r>
        <w:rPr>
          <w:color w:val="211F20"/>
        </w:rPr>
        <w:t xml:space="preserve"> and select </w:t>
      </w:r>
      <w:r>
        <w:rPr>
          <w:b/>
          <w:bCs/>
          <w:color w:val="211F20"/>
        </w:rPr>
        <w:t>Refresh</w:t>
      </w:r>
      <w:r>
        <w:rPr>
          <w:color w:val="211F20"/>
        </w:rPr>
        <w:t>. This forces BST11 to pull the most current list of items assigned to you.</w:t>
      </w:r>
    </w:p>
    <w:p w14:paraId="41C6E3FA" w14:textId="77777777" w:rsidR="000373B1" w:rsidRDefault="000373B1">
      <w:pPr>
        <w:spacing w:before="100"/>
      </w:pPr>
    </w:p>
    <w:p w14:paraId="0624B767" w14:textId="77777777" w:rsidR="000373B1" w:rsidRDefault="00C52EC5">
      <w:pPr>
        <w:pStyle w:val="Heading2"/>
      </w:pPr>
      <w:r>
        <w:t>1.2  What a Pre-Bill Is</w:t>
      </w:r>
    </w:p>
    <w:p w14:paraId="499CAC21" w14:textId="77777777" w:rsidR="000373B1" w:rsidRDefault="00C52EC5">
      <w:pPr>
        <w:spacing w:before="60" w:after="100"/>
      </w:pPr>
      <w:r>
        <w:rPr>
          <w:color w:val="211F20"/>
        </w:rPr>
        <w:t>A Pre-Bill is a draft invoice assembled by your Project Accountant based on current Work in Progress (WIP) data. It represents what BST11 would bill to the client if nothing were changed. Your job as the PM is to review it, provide direction, and submit it back to accounting so the final invoice can be prepared.</w:t>
      </w:r>
    </w:p>
    <w:p w14:paraId="1A84534B" w14:textId="77777777" w:rsidR="000373B1" w:rsidRDefault="000373B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373B1" w14:paraId="4F3831C3" w14:textId="77777777">
        <w:tc>
          <w:tcPr>
            <w:tcW w:w="0" w:type="auto"/>
            <w:tcBorders>
              <w:top w:val="none" w:sz="0" w:space="0" w:color="FFFFFF"/>
              <w:left w:val="single" w:sz="8" w:space="0" w:color="3A8FCC"/>
              <w:bottom w:val="none" w:sz="0" w:space="0" w:color="FFFFFF"/>
              <w:right w:val="none" w:sz="0" w:space="0" w:color="FFFFFF"/>
            </w:tcBorders>
            <w:shd w:val="clear" w:color="auto" w:fill="E8F7FC"/>
            <w:tcMar>
              <w:top w:w="120" w:type="dxa"/>
              <w:left w:w="180" w:type="dxa"/>
              <w:bottom w:w="120" w:type="dxa"/>
              <w:right w:w="180" w:type="dxa"/>
            </w:tcMar>
          </w:tcPr>
          <w:p w14:paraId="617C2DE6" w14:textId="77777777" w:rsidR="000373B1" w:rsidRDefault="00C52EC5">
            <w:pPr>
              <w:spacing w:after="50"/>
            </w:pPr>
            <w:r>
              <w:rPr>
                <w:b/>
                <w:bCs/>
                <w:color w:val="3A8FCC"/>
              </w:rPr>
              <w:t>Think of it this way</w:t>
            </w:r>
          </w:p>
          <w:p w14:paraId="73F9BF98" w14:textId="77777777" w:rsidR="000373B1" w:rsidRDefault="00C52EC5">
            <w:r>
              <w:rPr>
                <w:color w:val="211F20"/>
              </w:rPr>
              <w:t>The Pre-Bill is accounting's opening position. Your comments and direction are how you negotiate the final number. The PA uses your input to produce the invoice that actually goes to the client.</w:t>
            </w:r>
          </w:p>
        </w:tc>
      </w:tr>
    </w:tbl>
    <w:p w14:paraId="39D9F64F" w14:textId="77777777" w:rsidR="000373B1" w:rsidRDefault="000373B1">
      <w:pPr>
        <w:spacing w:before="100"/>
      </w:pPr>
    </w:p>
    <w:p w14:paraId="79CB00D3" w14:textId="77777777" w:rsidR="000373B1" w:rsidRDefault="00C52EC5">
      <w:pPr>
        <w:pStyle w:val="Heading2"/>
      </w:pPr>
      <w:r>
        <w:t>1.3  Two Ways to Access Your Pre-Bills</w:t>
      </w:r>
    </w:p>
    <w:p w14:paraId="7BEB8D78" w14:textId="77777777" w:rsidR="000373B1" w:rsidRDefault="00C52EC5">
      <w:pPr>
        <w:spacing w:before="60" w:after="100"/>
      </w:pPr>
      <w:r>
        <w:rPr>
          <w:b/>
          <w:bCs/>
          <w:color w:val="211F20"/>
        </w:rPr>
        <w:t>Option 1 — Direct from the Navigation Pane (fewer projects):</w:t>
      </w:r>
      <w:r>
        <w:rPr>
          <w:color w:val="211F20"/>
        </w:rPr>
        <w:t xml:space="preserve"> Navigate to your To-Do list, find the Pre-Bill subsection, and double-click any Pre-Bill to open it in the Content Pane. This is the simplest method and works well if you have a small number of projects.</w:t>
      </w:r>
    </w:p>
    <w:p w14:paraId="2B04AA01" w14:textId="77777777" w:rsidR="000373B1" w:rsidRDefault="000373B1">
      <w:pPr>
        <w:spacing w:before="60" w:after="100"/>
      </w:pPr>
      <w:r>
        <w:rPr>
          <w:color w:val="211F20"/>
        </w:rPr>
        <w:t xml:space="preserve">Each Pre-Bill in the To-Do list is identified in the format: </w:t>
      </w:r>
      <w:r>
        <w:rPr>
          <w:b/>
          <w:bCs/>
          <w:color w:val="211F20"/>
        </w:rPr>
        <w:t>Project Code – Bill Number – Date</w:t>
      </w:r>
      <w:r>
        <w:rPr>
          <w:color w:val="211F20"/>
        </w:rPr>
        <w:t xml:space="preserve"> (for example: </w:t>
      </w:r>
      <w:r>
        <w:rPr>
          <w:i/>
          <w:iCs/>
          <w:color w:val="211F20"/>
        </w:rPr>
        <w:t>6020128 – 2664 – 04/30/26</w:t>
      </w:r>
      <w:r>
        <w:rPr>
          <w:color w:val="211F20"/>
        </w:rPr>
        <w:t>). Use the Project Code to identify which project each Pre-Bill belongs to.</w:t>
      </w:r>
    </w:p>
    <w:p w14:paraId="169F2750" w14:textId="77777777" w:rsidR="000373B1" w:rsidRDefault="000373B1">
      <w:pPr>
        <w:spacing w:before="80"/>
      </w:pPr>
    </w:p>
    <w:p w14:paraId="72B3DF22" w14:textId="77777777" w:rsidR="000373B1" w:rsidRDefault="00C52EC5">
      <w:pPr>
        <w:spacing w:before="60" w:after="100"/>
      </w:pPr>
      <w:r>
        <w:rPr>
          <w:b/>
          <w:bCs/>
          <w:color w:val="211F20"/>
        </w:rPr>
        <w:t>Option 2 — Bills Inquiry (larger portfolios):</w:t>
      </w:r>
      <w:r>
        <w:rPr>
          <w:color w:val="211F20"/>
        </w:rPr>
        <w:t xml:space="preserve"> If you are managing many active projects, the Bills Inquiry gives you a consolidated view of all your Pre-Bills in a single screen, with the ability to work through them one by one using the Split Pane view. This is covered in detail in Part 2.</w:t>
      </w:r>
    </w:p>
    <w:p w14:paraId="79840898" w14:textId="77777777" w:rsidR="000373B1" w:rsidRDefault="000373B1">
      <w:pPr>
        <w:spacing w:before="160"/>
      </w:pPr>
    </w:p>
    <w:p w14:paraId="594AA920" w14:textId="77777777" w:rsidR="000373B1" w:rsidRDefault="00C52EC5">
      <w:pPr>
        <w:pStyle w:val="Heading1"/>
        <w:pBdr>
          <w:bottom w:val="single" w:sz="8" w:space="4" w:color="15A1DA"/>
        </w:pBdr>
      </w:pPr>
      <w:r>
        <w:t>Part 2: Using the Bills Inquiry</w:t>
      </w:r>
    </w:p>
    <w:p w14:paraId="20471ED9" w14:textId="77777777" w:rsidR="000373B1" w:rsidRDefault="00C52EC5">
      <w:pPr>
        <w:pStyle w:val="Heading2"/>
      </w:pPr>
      <w:r>
        <w:lastRenderedPageBreak/>
        <w:t>2.1  Opening the Bills Inquiry</w:t>
      </w:r>
    </w:p>
    <w:p w14:paraId="637725B9" w14:textId="77777777" w:rsidR="000373B1" w:rsidRDefault="00C52EC5">
      <w:pPr>
        <w:spacing w:before="60" w:after="100"/>
      </w:pPr>
      <w:r>
        <w:rPr>
          <w:color w:val="211F20"/>
        </w:rPr>
        <w:t xml:space="preserve">From the </w:t>
      </w:r>
      <w:r>
        <w:rPr>
          <w:b/>
          <w:bCs/>
          <w:color w:val="211F20"/>
        </w:rPr>
        <w:t>Toolbar</w:t>
      </w:r>
      <w:r>
        <w:rPr>
          <w:color w:val="211F20"/>
        </w:rPr>
        <w:t xml:space="preserve">, select the </w:t>
      </w:r>
      <w:r>
        <w:rPr>
          <w:b/>
          <w:bCs/>
          <w:color w:val="211F20"/>
        </w:rPr>
        <w:t>Inquiries icon</w:t>
      </w:r>
      <w:r>
        <w:rPr>
          <w:color w:val="211F20"/>
        </w:rPr>
        <w:t xml:space="preserve"> — it resembles a small window displaying rows of data, like a miniature list view. From the menu that appears, select </w:t>
      </w:r>
      <w:r>
        <w:rPr>
          <w:b/>
          <w:bCs/>
          <w:color w:val="211F20"/>
        </w:rPr>
        <w:t>Bills</w:t>
      </w:r>
      <w:r>
        <w:rPr>
          <w:color w:val="211F20"/>
        </w:rPr>
        <w:t>. The Bills Inquiry will open as a new tab in the Content Pane.</w:t>
      </w:r>
    </w:p>
    <w:p w14:paraId="6CEF2191" w14:textId="77777777" w:rsidR="000373B1" w:rsidRDefault="000373B1">
      <w:pPr>
        <w:spacing w:before="100"/>
      </w:pPr>
    </w:p>
    <w:p w14:paraId="2CE79F14" w14:textId="77777777" w:rsidR="000373B1" w:rsidRDefault="00C52EC5">
      <w:pPr>
        <w:pStyle w:val="Heading2"/>
      </w:pPr>
      <w:r>
        <w:t>2.2  Setting Restrictions</w:t>
      </w:r>
    </w:p>
    <w:p w14:paraId="4CCE8F37" w14:textId="77777777" w:rsidR="000373B1" w:rsidRDefault="00C52EC5">
      <w:pPr>
        <w:spacing w:before="60" w:after="100"/>
      </w:pPr>
      <w:r>
        <w:rPr>
          <w:color w:val="211F20"/>
        </w:rPr>
        <w:t>Before running the inquiry, you need to configure your Restrictions to filter down to the Pre-Bills relevant to you. Expand the Restrictions panel and set the following:</w:t>
      </w:r>
    </w:p>
    <w:p w14:paraId="2B591FBA" w14:textId="77777777" w:rsidR="000373B1" w:rsidRDefault="000373B1">
      <w:pPr>
        <w:spacing w:before="80"/>
      </w:pPr>
    </w:p>
    <w:p w14:paraId="1522E7E2" w14:textId="77777777" w:rsidR="000373B1" w:rsidRDefault="00C52EC5">
      <w:pPr>
        <w:pStyle w:val="ListParagraph"/>
        <w:numPr>
          <w:ilvl w:val="0"/>
          <w:numId w:val="2"/>
        </w:numPr>
        <w:spacing w:before="40" w:after="40"/>
      </w:pPr>
      <w:r>
        <w:rPr>
          <w:b/>
          <w:bCs/>
          <w:color w:val="211F20"/>
        </w:rPr>
        <w:t xml:space="preserve">Project Manager: </w:t>
      </w:r>
      <w:r>
        <w:rPr>
          <w:color w:val="211F20"/>
        </w:rPr>
        <w:t>Set this to your name to see only your projects. Practice Leaders reviewing their team's Pre-Bills may restrict by Organization/Studio instead.</w:t>
      </w:r>
    </w:p>
    <w:p w14:paraId="77267D40" w14:textId="77777777" w:rsidR="000373B1" w:rsidRDefault="00C52EC5">
      <w:pPr>
        <w:pStyle w:val="ListParagraph"/>
        <w:numPr>
          <w:ilvl w:val="0"/>
          <w:numId w:val="2"/>
        </w:numPr>
        <w:spacing w:before="40" w:after="40"/>
      </w:pPr>
      <w:r>
        <w:rPr>
          <w:b/>
          <w:bCs/>
          <w:color w:val="211F20"/>
        </w:rPr>
        <w:t xml:space="preserve">Latest Pre-Bill: </w:t>
      </w:r>
      <w:r>
        <w:rPr>
          <w:color w:val="211F20"/>
        </w:rPr>
        <w:t xml:space="preserve">Ensure this checkbox is in the </w:t>
      </w:r>
      <w:r>
        <w:rPr>
          <w:b/>
          <w:bCs/>
          <w:color w:val="211F20"/>
        </w:rPr>
        <w:t>Checked  ✓</w:t>
      </w:r>
      <w:r>
        <w:rPr>
          <w:color w:val="211F20"/>
        </w:rPr>
        <w:t xml:space="preserve"> state. This is a three-state checkbox — Empty excludes Pre-Bills, Filled includes all billing periods, Checked ✓ shows only the current period's Pre-Bills. You want Checked ✓.</w:t>
      </w:r>
    </w:p>
    <w:p w14:paraId="1A9FEA47" w14:textId="77777777" w:rsidR="000373B1" w:rsidRDefault="00C52EC5">
      <w:pPr>
        <w:pStyle w:val="ListParagraph"/>
        <w:numPr>
          <w:ilvl w:val="0"/>
          <w:numId w:val="2"/>
        </w:numPr>
        <w:spacing w:before="40" w:after="40"/>
      </w:pPr>
      <w:r>
        <w:rPr>
          <w:b/>
          <w:bCs/>
          <w:color w:val="211F20"/>
        </w:rPr>
        <w:t xml:space="preserve">Source: </w:t>
      </w:r>
      <w:r>
        <w:rPr>
          <w:color w:val="211F20"/>
        </w:rPr>
        <w:t xml:space="preserve">Set to </w:t>
      </w:r>
      <w:r>
        <w:rPr>
          <w:b/>
          <w:bCs/>
          <w:color w:val="211F20"/>
        </w:rPr>
        <w:t>Draft</w:t>
      </w:r>
      <w:r>
        <w:rPr>
          <w:color w:val="211F20"/>
        </w:rPr>
        <w:t>. This ensures you are viewing Pre-Bills still in review, not ones that have already been finalized and sent to the client.</w:t>
      </w:r>
    </w:p>
    <w:p w14:paraId="03EB5A2C" w14:textId="77777777" w:rsidR="000373B1" w:rsidRDefault="000373B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373B1" w14:paraId="3EF6A475" w14:textId="77777777">
        <w:tc>
          <w:tcPr>
            <w:tcW w:w="0" w:type="auto"/>
            <w:tcBorders>
              <w:top w:val="none" w:sz="0" w:space="0" w:color="FFFFFF"/>
              <w:left w:val="single" w:sz="8" w:space="0" w:color="F0532D"/>
              <w:bottom w:val="none" w:sz="0" w:space="0" w:color="FFFFFF"/>
              <w:right w:val="none" w:sz="0" w:space="0" w:color="FFFFFF"/>
            </w:tcBorders>
            <w:shd w:val="clear" w:color="auto" w:fill="FFF0EC"/>
            <w:tcMar>
              <w:top w:w="120" w:type="dxa"/>
              <w:left w:w="180" w:type="dxa"/>
              <w:bottom w:w="120" w:type="dxa"/>
              <w:right w:w="180" w:type="dxa"/>
            </w:tcMar>
          </w:tcPr>
          <w:p w14:paraId="76EEFC2F" w14:textId="77777777" w:rsidR="000373B1" w:rsidRDefault="00C52EC5">
            <w:pPr>
              <w:spacing w:after="50"/>
            </w:pPr>
            <w:r>
              <w:rPr>
                <w:b/>
                <w:bCs/>
                <w:color w:val="F0532D"/>
              </w:rPr>
              <w:t>⚠  Both Latest Pre-Bill and Source = Draft are critical</w:t>
            </w:r>
          </w:p>
          <w:p w14:paraId="494D8BBD" w14:textId="77777777" w:rsidR="000373B1" w:rsidRDefault="00C52EC5">
            <w:r>
              <w:rPr>
                <w:color w:val="6B3E00"/>
              </w:rPr>
              <w:t>Without Latest Pre-Bill checked, you will see Pre-Bills from prior periods. Without Source set to Draft, you may see finalized invoices that are no longer actionable. Always verify both before running.</w:t>
            </w:r>
          </w:p>
        </w:tc>
      </w:tr>
    </w:tbl>
    <w:p w14:paraId="170FEB55" w14:textId="77777777" w:rsidR="000373B1" w:rsidRDefault="000373B1">
      <w:pPr>
        <w:spacing w:before="100"/>
      </w:pPr>
    </w:p>
    <w:p w14:paraId="58C3D2A6" w14:textId="77777777" w:rsidR="000373B1" w:rsidRDefault="00C52EC5">
      <w:pPr>
        <w:pStyle w:val="Heading2"/>
      </w:pPr>
      <w:r>
        <w:t>2.3  Running the Inquiry</w:t>
      </w:r>
    </w:p>
    <w:p w14:paraId="6B75220A" w14:textId="77777777" w:rsidR="000373B1" w:rsidRDefault="00C52EC5">
      <w:pPr>
        <w:spacing w:before="60" w:after="100"/>
      </w:pPr>
      <w:r>
        <w:rPr>
          <w:color w:val="211F20"/>
        </w:rPr>
        <w:t xml:space="preserve">Once restrictions are set, click the </w:t>
      </w:r>
      <w:r>
        <w:rPr>
          <w:b/>
          <w:bCs/>
          <w:color w:val="211F20"/>
        </w:rPr>
        <w:t>green running man</w:t>
      </w:r>
      <w:r>
        <w:rPr>
          <w:color w:val="211F20"/>
        </w:rPr>
        <w:t xml:space="preserve"> in the Toolbar to run the inquiry. All of your current-period draft Pre-Bills will appear in the results list.</w:t>
      </w:r>
    </w:p>
    <w:p w14:paraId="07A7BD84" w14:textId="77777777" w:rsidR="000373B1" w:rsidRDefault="000373B1">
      <w:pPr>
        <w:spacing w:before="100"/>
      </w:pPr>
    </w:p>
    <w:p w14:paraId="491E2960" w14:textId="77777777" w:rsidR="000373B1" w:rsidRDefault="00C52EC5">
      <w:pPr>
        <w:pStyle w:val="Heading2"/>
      </w:pPr>
      <w:r>
        <w:t>2.4  Saving Your View and Restrictions</w:t>
      </w:r>
    </w:p>
    <w:p w14:paraId="25261919" w14:textId="77777777" w:rsidR="000373B1" w:rsidRDefault="00C52EC5">
      <w:pPr>
        <w:spacing w:before="60" w:after="100"/>
      </w:pPr>
      <w:r>
        <w:rPr>
          <w:color w:val="211F20"/>
        </w:rPr>
        <w:t>The Bills Inquiry is one you will open every month, so it is worth saving both your layout and your restriction settings. BST11 uses two separate mechanisms for this:</w:t>
      </w:r>
    </w:p>
    <w:p w14:paraId="419DAA06" w14:textId="77777777" w:rsidR="000373B1" w:rsidRDefault="000373B1">
      <w:pPr>
        <w:spacing w:before="80"/>
      </w:pPr>
    </w:p>
    <w:p w14:paraId="58908F21" w14:textId="77777777" w:rsidR="000373B1" w:rsidRDefault="00C52EC5">
      <w:pPr>
        <w:pStyle w:val="ListParagraph"/>
        <w:numPr>
          <w:ilvl w:val="0"/>
          <w:numId w:val="2"/>
        </w:numPr>
        <w:spacing w:before="40" w:after="40"/>
      </w:pPr>
      <w:r>
        <w:rPr>
          <w:b/>
          <w:bCs/>
          <w:color w:val="211F20"/>
        </w:rPr>
        <w:t xml:space="preserve">Inquiry view (layout, columns, groupings): </w:t>
      </w:r>
      <w:r>
        <w:rPr>
          <w:color w:val="211F20"/>
        </w:rPr>
        <w:t xml:space="preserve">Use the </w:t>
      </w:r>
      <w:r>
        <w:rPr>
          <w:b/>
          <w:bCs/>
          <w:color w:val="211F20"/>
        </w:rPr>
        <w:t>train tracks icon</w:t>
      </w:r>
      <w:r>
        <w:rPr>
          <w:color w:val="211F20"/>
        </w:rPr>
        <w:t xml:space="preserve"> in the upper right corner of the inquiry screen. This icon — resembling two parallel vertical lines with horizontal rungs — lets you save your current column layout and groupings as a named view, and switch between saved views.</w:t>
      </w:r>
    </w:p>
    <w:p w14:paraId="3CCFD4DB" w14:textId="77777777" w:rsidR="000373B1" w:rsidRDefault="00C52EC5">
      <w:pPr>
        <w:pStyle w:val="ListParagraph"/>
        <w:numPr>
          <w:ilvl w:val="0"/>
          <w:numId w:val="2"/>
        </w:numPr>
        <w:spacing w:before="40" w:after="40"/>
      </w:pPr>
      <w:r>
        <w:rPr>
          <w:b/>
          <w:bCs/>
          <w:color w:val="211F20"/>
        </w:rPr>
        <w:t xml:space="preserve">Restrictions view (filter settings): </w:t>
      </w:r>
      <w:r>
        <w:rPr>
          <w:color w:val="211F20"/>
        </w:rPr>
        <w:t xml:space="preserve">Use the </w:t>
      </w:r>
      <w:r>
        <w:rPr>
          <w:b/>
          <w:bCs/>
          <w:color w:val="211F20"/>
        </w:rPr>
        <w:t>document with yellow badge icon</w:t>
      </w:r>
      <w:r>
        <w:rPr>
          <w:color w:val="211F20"/>
        </w:rPr>
        <w:t xml:space="preserve"> — a page icon with a small yellow logo in the corner and a drop-down arrow beside it — located just below the train tracks icon. This saves your restriction settings separately, so the same filters reload automatically next time.</w:t>
      </w:r>
    </w:p>
    <w:p w14:paraId="0C25B6AB" w14:textId="77777777" w:rsidR="000373B1" w:rsidRDefault="000373B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373B1" w14:paraId="1CEDBC43" w14:textId="77777777">
        <w:tc>
          <w:tcPr>
            <w:tcW w:w="0" w:type="auto"/>
            <w:tcBorders>
              <w:top w:val="none" w:sz="0" w:space="0" w:color="FFFFFF"/>
              <w:left w:val="single" w:sz="8" w:space="0" w:color="4A9A3A"/>
              <w:bottom w:val="none" w:sz="0" w:space="0" w:color="FFFFFF"/>
              <w:right w:val="none" w:sz="0" w:space="0" w:color="FFFFFF"/>
            </w:tcBorders>
            <w:shd w:val="clear" w:color="auto" w:fill="F0F8EE"/>
            <w:tcMar>
              <w:top w:w="120" w:type="dxa"/>
              <w:left w:w="180" w:type="dxa"/>
              <w:bottom w:w="120" w:type="dxa"/>
              <w:right w:w="180" w:type="dxa"/>
            </w:tcMar>
          </w:tcPr>
          <w:p w14:paraId="1DDD812F" w14:textId="77777777" w:rsidR="000373B1" w:rsidRDefault="00C52EC5">
            <w:pPr>
              <w:spacing w:after="50"/>
            </w:pPr>
            <w:r>
              <w:rPr>
                <w:b/>
                <w:bCs/>
                <w:color w:val="4A9A3A"/>
              </w:rPr>
              <w:t>Save both on your first use</w:t>
            </w:r>
          </w:p>
          <w:p w14:paraId="55B1B15A" w14:textId="77777777" w:rsidR="000373B1" w:rsidRDefault="00C52EC5">
            <w:r>
              <w:rPr>
                <w:color w:val="1A4A10"/>
              </w:rPr>
              <w:t>Saving your restrictions view means you never need to re-enter your Project Manager filter, Latest Pre-Bill, and Draft settings again. Saving your inquiry view preserves the column layout and any groupings you prefer. Together, they make the Bills Inquiry ready to use in seconds each month.</w:t>
            </w:r>
          </w:p>
        </w:tc>
      </w:tr>
    </w:tbl>
    <w:p w14:paraId="675C25C3" w14:textId="77777777" w:rsidR="000373B1" w:rsidRDefault="000373B1">
      <w:pPr>
        <w:spacing w:before="100"/>
      </w:pPr>
    </w:p>
    <w:p w14:paraId="5521985C" w14:textId="77777777" w:rsidR="000373B1" w:rsidRDefault="00C52EC5">
      <w:pPr>
        <w:pStyle w:val="Heading2"/>
      </w:pPr>
      <w:r>
        <w:t>2.5  Using Split Pane View</w:t>
      </w:r>
    </w:p>
    <w:p w14:paraId="04DED831" w14:textId="77777777" w:rsidR="000373B1" w:rsidRDefault="00C52EC5">
      <w:pPr>
        <w:spacing w:before="60" w:after="100"/>
      </w:pPr>
      <w:r>
        <w:rPr>
          <w:color w:val="211F20"/>
        </w:rPr>
        <w:t xml:space="preserve">The most efficient way to work through multiple Pre-Bills is the </w:t>
      </w:r>
      <w:r>
        <w:rPr>
          <w:b/>
          <w:bCs/>
          <w:color w:val="211F20"/>
        </w:rPr>
        <w:t>Split Pane view</w:t>
      </w:r>
      <w:r>
        <w:rPr>
          <w:color w:val="211F20"/>
        </w:rPr>
        <w:t xml:space="preserve">. Select it from the </w:t>
      </w:r>
      <w:r>
        <w:rPr>
          <w:b/>
          <w:bCs/>
          <w:color w:val="211F20"/>
        </w:rPr>
        <w:t>train tracks icon</w:t>
      </w:r>
      <w:r>
        <w:rPr>
          <w:color w:val="211F20"/>
        </w:rPr>
        <w:t xml:space="preserve"> in the upper right corner. This divides the Content Pane into two areas: the inquiry list on one side and the Pre-Bill you have </w:t>
      </w:r>
      <w:r>
        <w:rPr>
          <w:color w:val="211F20"/>
        </w:rPr>
        <w:lastRenderedPageBreak/>
        <w:t>selected on the other. You can move through the list, review each Pre-Bill, leave comments, and submit — all without losing your place in the inquiry.</w:t>
      </w:r>
    </w:p>
    <w:p w14:paraId="74189050" w14:textId="77777777" w:rsidR="000373B1" w:rsidRDefault="000373B1">
      <w:pPr>
        <w:spacing w:before="160"/>
      </w:pPr>
    </w:p>
    <w:p w14:paraId="6D6535F6" w14:textId="77777777" w:rsidR="000373B1" w:rsidRDefault="00C52EC5">
      <w:pPr>
        <w:pStyle w:val="Heading1"/>
        <w:pBdr>
          <w:bottom w:val="single" w:sz="8" w:space="4" w:color="15A1DA"/>
        </w:pBdr>
      </w:pPr>
      <w:r>
        <w:t>Part 3: Reviewing a Pre-Bill</w:t>
      </w:r>
    </w:p>
    <w:p w14:paraId="5ED40398" w14:textId="77777777" w:rsidR="000373B1" w:rsidRDefault="00C52EC5">
      <w:pPr>
        <w:pStyle w:val="Heading2"/>
      </w:pPr>
      <w:r>
        <w:t>3.1  The Draft Invoice Preview</w:t>
      </w:r>
    </w:p>
    <w:p w14:paraId="069AC759" w14:textId="77777777" w:rsidR="000373B1" w:rsidRDefault="00C52EC5">
      <w:pPr>
        <w:spacing w:before="60" w:after="100"/>
      </w:pPr>
      <w:r>
        <w:rPr>
          <w:color w:val="211F20"/>
        </w:rPr>
        <w:t xml:space="preserve">When a Pre-Bill is open, you will see a </w:t>
      </w:r>
      <w:r>
        <w:rPr>
          <w:b/>
          <w:bCs/>
          <w:color w:val="211F20"/>
        </w:rPr>
        <w:t>draft invoice preview</w:t>
      </w:r>
      <w:r>
        <w:rPr>
          <w:color w:val="211F20"/>
        </w:rPr>
        <w:t xml:space="preserve"> showing the billing amounts and percentage complete BST11 is proposing for each task, based on the transactions posted to the project and prior billing history. This is your starting point — review whether the suggested billing reflects where the project actually stands.</w:t>
      </w:r>
    </w:p>
    <w:p w14:paraId="7ADE4EBC" w14:textId="77777777" w:rsidR="000373B1" w:rsidRDefault="000373B1">
      <w:pPr>
        <w:spacing w:before="100"/>
      </w:pPr>
    </w:p>
    <w:p w14:paraId="3D7F8559" w14:textId="77777777" w:rsidR="000373B1" w:rsidRDefault="00C52EC5">
      <w:pPr>
        <w:pStyle w:val="Heading2"/>
      </w:pPr>
      <w:r>
        <w:t>3.2  The Pre-Bill Tabs</w:t>
      </w:r>
    </w:p>
    <w:p w14:paraId="602B7555" w14:textId="77777777" w:rsidR="000373B1" w:rsidRDefault="00C52EC5">
      <w:pPr>
        <w:spacing w:before="60" w:after="100"/>
      </w:pPr>
      <w:r>
        <w:rPr>
          <w:color w:val="211F20"/>
        </w:rPr>
        <w:t>Each Pre-Bill has several tabs that give you different views into the project's billing status. Here is what each one contains:</w:t>
      </w:r>
    </w:p>
    <w:p w14:paraId="7E411B16" w14:textId="77777777" w:rsidR="000373B1" w:rsidRDefault="000373B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0373B1" w14:paraId="690F6B30" w14:textId="77777777">
        <w:tc>
          <w:tcPr>
            <w:tcW w:w="1800" w:type="dxa"/>
            <w:tcBorders>
              <w:top w:val="single" w:sz="1" w:space="0" w:color="15A1DA"/>
              <w:left w:val="single" w:sz="1" w:space="0" w:color="15A1DA"/>
              <w:bottom w:val="single" w:sz="1" w:space="0" w:color="15A1DA"/>
              <w:right w:val="single" w:sz="1" w:space="0" w:color="15A1DA"/>
            </w:tcBorders>
            <w:shd w:val="clear" w:color="auto" w:fill="15A1DA"/>
            <w:tcMar>
              <w:top w:w="70" w:type="dxa"/>
              <w:left w:w="120" w:type="dxa"/>
              <w:bottom w:w="70" w:type="dxa"/>
              <w:right w:w="80" w:type="dxa"/>
            </w:tcMar>
          </w:tcPr>
          <w:p w14:paraId="22B919B3" w14:textId="77777777" w:rsidR="000373B1" w:rsidRDefault="00C52EC5">
            <w:r>
              <w:rPr>
                <w:b/>
                <w:bCs/>
                <w:color w:val="FFFFFF"/>
              </w:rPr>
              <w:t>Tab</w:t>
            </w:r>
          </w:p>
        </w:tc>
        <w:tc>
          <w:tcPr>
            <w:tcW w:w="7560" w:type="dxa"/>
            <w:tcBorders>
              <w:top w:val="single" w:sz="1" w:space="0" w:color="15A1DA"/>
              <w:left w:val="single" w:sz="1" w:space="0" w:color="15A1DA"/>
              <w:bottom w:val="single" w:sz="1" w:space="0" w:color="15A1DA"/>
              <w:right w:val="single" w:sz="1" w:space="0" w:color="15A1DA"/>
            </w:tcBorders>
            <w:shd w:val="clear" w:color="auto" w:fill="15A1DA"/>
            <w:tcMar>
              <w:top w:w="70" w:type="dxa"/>
              <w:left w:w="120" w:type="dxa"/>
              <w:bottom w:w="70" w:type="dxa"/>
              <w:right w:w="80" w:type="dxa"/>
            </w:tcMar>
          </w:tcPr>
          <w:p w14:paraId="321BA180" w14:textId="77777777" w:rsidR="000373B1" w:rsidRDefault="00C52EC5">
            <w:r>
              <w:rPr>
                <w:b/>
                <w:bCs/>
                <w:color w:val="FFFFFF"/>
              </w:rPr>
              <w:t>What it contains</w:t>
            </w:r>
          </w:p>
        </w:tc>
      </w:tr>
      <w:tr w:rsidR="000373B1" w14:paraId="7F527788" w14:textId="77777777">
        <w:tc>
          <w:tcPr>
            <w:tcW w:w="1800" w:type="dxa"/>
            <w:tcBorders>
              <w:top w:val="single" w:sz="1" w:space="0" w:color="D0EEF8"/>
              <w:left w:val="single" w:sz="1" w:space="0" w:color="D0EEF8"/>
              <w:bottom w:val="single" w:sz="1" w:space="0" w:color="D0EEF8"/>
              <w:right w:val="single" w:sz="1" w:space="0" w:color="D0EEF8"/>
            </w:tcBorders>
            <w:shd w:val="clear" w:color="auto" w:fill="FFFFFF"/>
            <w:tcMar>
              <w:top w:w="70" w:type="dxa"/>
              <w:left w:w="120" w:type="dxa"/>
              <w:bottom w:w="70" w:type="dxa"/>
              <w:right w:w="80" w:type="dxa"/>
            </w:tcMar>
          </w:tcPr>
          <w:p w14:paraId="0F8FF96A" w14:textId="77777777" w:rsidR="000373B1" w:rsidRDefault="00C52EC5">
            <w:r>
              <w:rPr>
                <w:b/>
                <w:bCs/>
                <w:color w:val="211F20"/>
              </w:rPr>
              <w:t>Comment</w:t>
            </w:r>
          </w:p>
        </w:tc>
        <w:tc>
          <w:tcPr>
            <w:tcW w:w="7560" w:type="dxa"/>
            <w:tcBorders>
              <w:top w:val="single" w:sz="1" w:space="0" w:color="D0EEF8"/>
              <w:left w:val="single" w:sz="1" w:space="0" w:color="D0EEF8"/>
              <w:bottom w:val="single" w:sz="1" w:space="0" w:color="D0EEF8"/>
              <w:right w:val="single" w:sz="1" w:space="0" w:color="D0EEF8"/>
            </w:tcBorders>
            <w:shd w:val="clear" w:color="auto" w:fill="FFFFFF"/>
            <w:tcMar>
              <w:top w:w="70" w:type="dxa"/>
              <w:left w:w="120" w:type="dxa"/>
              <w:bottom w:w="70" w:type="dxa"/>
              <w:right w:w="80" w:type="dxa"/>
            </w:tcMar>
          </w:tcPr>
          <w:p w14:paraId="21601D58" w14:textId="77777777" w:rsidR="000373B1" w:rsidRDefault="00C52EC5">
            <w:r>
              <w:rPr>
                <w:color w:val="534D4E"/>
              </w:rPr>
              <w:t>Where you leave billing direction for your PA. Also shows the history of all prior comments on this Pre-Bill. This is your primary communication tool during the review process.</w:t>
            </w:r>
          </w:p>
        </w:tc>
      </w:tr>
      <w:tr w:rsidR="000373B1" w14:paraId="599C8794" w14:textId="77777777">
        <w:tc>
          <w:tcPr>
            <w:tcW w:w="1800" w:type="dxa"/>
            <w:tcBorders>
              <w:top w:val="single" w:sz="1" w:space="0" w:color="D0EEF8"/>
              <w:left w:val="single" w:sz="1" w:space="0" w:color="D0EEF8"/>
              <w:bottom w:val="single" w:sz="1" w:space="0" w:color="D0EEF8"/>
              <w:right w:val="single" w:sz="1" w:space="0" w:color="D0EEF8"/>
            </w:tcBorders>
            <w:shd w:val="clear" w:color="auto" w:fill="D0EEF8"/>
            <w:tcMar>
              <w:top w:w="70" w:type="dxa"/>
              <w:left w:w="120" w:type="dxa"/>
              <w:bottom w:w="70" w:type="dxa"/>
              <w:right w:w="80" w:type="dxa"/>
            </w:tcMar>
          </w:tcPr>
          <w:p w14:paraId="19C08FF3" w14:textId="77777777" w:rsidR="000373B1" w:rsidRDefault="00C52EC5">
            <w:r>
              <w:rPr>
                <w:b/>
                <w:bCs/>
                <w:color w:val="211F20"/>
              </w:rPr>
              <w:t>Transactions</w:t>
            </w:r>
          </w:p>
        </w:tc>
        <w:tc>
          <w:tcPr>
            <w:tcW w:w="7560" w:type="dxa"/>
            <w:tcBorders>
              <w:top w:val="single" w:sz="1" w:space="0" w:color="D0EEF8"/>
              <w:left w:val="single" w:sz="1" w:space="0" w:color="D0EEF8"/>
              <w:bottom w:val="single" w:sz="1" w:space="0" w:color="D0EEF8"/>
              <w:right w:val="single" w:sz="1" w:space="0" w:color="D0EEF8"/>
            </w:tcBorders>
            <w:shd w:val="clear" w:color="auto" w:fill="F5F5F5"/>
            <w:tcMar>
              <w:top w:w="70" w:type="dxa"/>
              <w:left w:w="120" w:type="dxa"/>
              <w:bottom w:w="70" w:type="dxa"/>
              <w:right w:w="80" w:type="dxa"/>
            </w:tcMar>
          </w:tcPr>
          <w:p w14:paraId="0B5F145A" w14:textId="77777777" w:rsidR="000373B1" w:rsidRDefault="00C52EC5">
            <w:r>
              <w:rPr>
                <w:color w:val="534D4E"/>
              </w:rPr>
              <w:t>All transactions posted to the project since the last final bill — employee hours, subconsultant invoices, and expenses. Use the Group By Box to organize by employee or vendor. You can also add or remove columns to control what information is displayed.</w:t>
            </w:r>
          </w:p>
        </w:tc>
      </w:tr>
      <w:tr w:rsidR="000373B1" w14:paraId="777704F9" w14:textId="77777777">
        <w:tc>
          <w:tcPr>
            <w:tcW w:w="1800" w:type="dxa"/>
            <w:tcBorders>
              <w:top w:val="single" w:sz="1" w:space="0" w:color="D0EEF8"/>
              <w:left w:val="single" w:sz="1" w:space="0" w:color="D0EEF8"/>
              <w:bottom w:val="single" w:sz="1" w:space="0" w:color="D0EEF8"/>
              <w:right w:val="single" w:sz="1" w:space="0" w:color="D0EEF8"/>
            </w:tcBorders>
            <w:shd w:val="clear" w:color="auto" w:fill="FFFFFF"/>
            <w:tcMar>
              <w:top w:w="70" w:type="dxa"/>
              <w:left w:w="120" w:type="dxa"/>
              <w:bottom w:w="70" w:type="dxa"/>
              <w:right w:w="80" w:type="dxa"/>
            </w:tcMar>
          </w:tcPr>
          <w:p w14:paraId="650A0C29" w14:textId="77777777" w:rsidR="000373B1" w:rsidRDefault="00C52EC5">
            <w:r>
              <w:rPr>
                <w:b/>
                <w:bCs/>
                <w:color w:val="211F20"/>
              </w:rPr>
              <w:t>Overrides</w:t>
            </w:r>
          </w:p>
        </w:tc>
        <w:tc>
          <w:tcPr>
            <w:tcW w:w="7560" w:type="dxa"/>
            <w:tcBorders>
              <w:top w:val="single" w:sz="1" w:space="0" w:color="D0EEF8"/>
              <w:left w:val="single" w:sz="1" w:space="0" w:color="D0EEF8"/>
              <w:bottom w:val="single" w:sz="1" w:space="0" w:color="D0EEF8"/>
              <w:right w:val="single" w:sz="1" w:space="0" w:color="D0EEF8"/>
            </w:tcBorders>
            <w:shd w:val="clear" w:color="auto" w:fill="FFFFFF"/>
            <w:tcMar>
              <w:top w:w="70" w:type="dxa"/>
              <w:left w:w="120" w:type="dxa"/>
              <w:bottom w:w="70" w:type="dxa"/>
              <w:right w:w="80" w:type="dxa"/>
            </w:tcMar>
          </w:tcPr>
          <w:p w14:paraId="4D81611A" w14:textId="77777777" w:rsidR="000373B1" w:rsidRDefault="00C52EC5">
            <w:r>
              <w:rPr>
                <w:color w:val="534D4E"/>
              </w:rPr>
              <w:t>Where billing amounts can be manually adjusted. If the Pre-Bill is suggesting 75% complete on Pre-Design but you want to bill to 50%, this is where that change is made. However — initially, PMs should use Comments to direct the PA rather than performing overrides themselves.</w:t>
            </w:r>
          </w:p>
        </w:tc>
      </w:tr>
      <w:tr w:rsidR="000373B1" w14:paraId="7B5E4849" w14:textId="77777777">
        <w:tc>
          <w:tcPr>
            <w:tcW w:w="1800" w:type="dxa"/>
            <w:tcBorders>
              <w:top w:val="single" w:sz="1" w:space="0" w:color="D0EEF8"/>
              <w:left w:val="single" w:sz="1" w:space="0" w:color="D0EEF8"/>
              <w:bottom w:val="single" w:sz="1" w:space="0" w:color="D0EEF8"/>
              <w:right w:val="single" w:sz="1" w:space="0" w:color="D0EEF8"/>
            </w:tcBorders>
            <w:shd w:val="clear" w:color="auto" w:fill="D0EEF8"/>
            <w:tcMar>
              <w:top w:w="70" w:type="dxa"/>
              <w:left w:w="120" w:type="dxa"/>
              <w:bottom w:w="70" w:type="dxa"/>
              <w:right w:w="80" w:type="dxa"/>
            </w:tcMar>
          </w:tcPr>
          <w:p w14:paraId="2C06BF31" w14:textId="77777777" w:rsidR="000373B1" w:rsidRDefault="00C52EC5">
            <w:r>
              <w:rPr>
                <w:b/>
                <w:bCs/>
                <w:color w:val="211F20"/>
              </w:rPr>
              <w:t>Info</w:t>
            </w:r>
          </w:p>
        </w:tc>
        <w:tc>
          <w:tcPr>
            <w:tcW w:w="7560" w:type="dxa"/>
            <w:tcBorders>
              <w:top w:val="single" w:sz="1" w:space="0" w:color="D0EEF8"/>
              <w:left w:val="single" w:sz="1" w:space="0" w:color="D0EEF8"/>
              <w:bottom w:val="single" w:sz="1" w:space="0" w:color="D0EEF8"/>
              <w:right w:val="single" w:sz="1" w:space="0" w:color="D0EEF8"/>
            </w:tcBorders>
            <w:shd w:val="clear" w:color="auto" w:fill="F5F5F5"/>
            <w:tcMar>
              <w:top w:w="70" w:type="dxa"/>
              <w:left w:w="120" w:type="dxa"/>
              <w:bottom w:w="70" w:type="dxa"/>
              <w:right w:w="80" w:type="dxa"/>
            </w:tcMar>
          </w:tcPr>
          <w:p w14:paraId="19E182A9" w14:textId="77777777" w:rsidR="000373B1" w:rsidRDefault="00C52EC5">
            <w:r>
              <w:rPr>
                <w:color w:val="534D4E"/>
              </w:rPr>
              <w:t>General project and Pre-Bill information. Shows who the invoice will be sent to — verify this is correct and leave a comment if it needs to change. Also displays a clean summary of any overrides that have been logged.</w:t>
            </w:r>
          </w:p>
        </w:tc>
      </w:tr>
      <w:tr w:rsidR="000373B1" w14:paraId="14059BFA" w14:textId="77777777">
        <w:tc>
          <w:tcPr>
            <w:tcW w:w="1800" w:type="dxa"/>
            <w:tcBorders>
              <w:top w:val="single" w:sz="1" w:space="0" w:color="D0EEF8"/>
              <w:left w:val="single" w:sz="1" w:space="0" w:color="D0EEF8"/>
              <w:bottom w:val="single" w:sz="1" w:space="0" w:color="D0EEF8"/>
              <w:right w:val="single" w:sz="1" w:space="0" w:color="D0EEF8"/>
            </w:tcBorders>
            <w:shd w:val="clear" w:color="auto" w:fill="FFFFFF"/>
            <w:tcMar>
              <w:top w:w="70" w:type="dxa"/>
              <w:left w:w="120" w:type="dxa"/>
              <w:bottom w:w="70" w:type="dxa"/>
              <w:right w:w="80" w:type="dxa"/>
            </w:tcMar>
          </w:tcPr>
          <w:p w14:paraId="6B080FE1" w14:textId="77777777" w:rsidR="000373B1" w:rsidRDefault="00C52EC5">
            <w:r>
              <w:rPr>
                <w:b/>
                <w:bCs/>
                <w:color w:val="211F20"/>
              </w:rPr>
              <w:t>Backup</w:t>
            </w:r>
          </w:p>
        </w:tc>
        <w:tc>
          <w:tcPr>
            <w:tcW w:w="7560" w:type="dxa"/>
            <w:tcBorders>
              <w:top w:val="single" w:sz="1" w:space="0" w:color="D0EEF8"/>
              <w:left w:val="single" w:sz="1" w:space="0" w:color="D0EEF8"/>
              <w:bottom w:val="single" w:sz="1" w:space="0" w:color="D0EEF8"/>
              <w:right w:val="single" w:sz="1" w:space="0" w:color="D0EEF8"/>
            </w:tcBorders>
            <w:shd w:val="clear" w:color="auto" w:fill="FFFFFF"/>
            <w:tcMar>
              <w:top w:w="70" w:type="dxa"/>
              <w:left w:w="120" w:type="dxa"/>
              <w:bottom w:w="70" w:type="dxa"/>
              <w:right w:w="80" w:type="dxa"/>
            </w:tcMar>
          </w:tcPr>
          <w:p w14:paraId="2F561237" w14:textId="77777777" w:rsidR="000373B1" w:rsidRDefault="00C52EC5">
            <w:r>
              <w:rPr>
                <w:color w:val="534D4E"/>
              </w:rPr>
              <w:t>Any backup documentation attached to the billing packet — expense reports, subconsultant invoices, and similar. You can also view attachments by clicking the paperclip icon in the left navigation bar, which shows attachments for whatever is currently open in the Content Pane.</w:t>
            </w:r>
          </w:p>
        </w:tc>
      </w:tr>
    </w:tbl>
    <w:p w14:paraId="363D910D" w14:textId="77777777" w:rsidR="000373B1" w:rsidRDefault="000373B1">
      <w:pPr>
        <w:spacing w:before="100"/>
      </w:pPr>
    </w:p>
    <w:p w14:paraId="72F26148" w14:textId="77777777" w:rsidR="000373B1" w:rsidRDefault="00C52EC5">
      <w:pPr>
        <w:pStyle w:val="Heading2"/>
      </w:pPr>
      <w:r>
        <w:t>3.3  Using the Transactions Tab</w:t>
      </w:r>
    </w:p>
    <w:p w14:paraId="578B04E3" w14:textId="77777777" w:rsidR="000373B1" w:rsidRDefault="00C52EC5">
      <w:pPr>
        <w:spacing w:before="60" w:after="100"/>
      </w:pPr>
      <w:r>
        <w:rPr>
          <w:color w:val="211F20"/>
        </w:rPr>
        <w:t>The Transactions tab is one of the most useful tools for understanding what has been posted to a project since the last invoice. You can organize the transactions in multiple ways to make them easier to read:</w:t>
      </w:r>
    </w:p>
    <w:p w14:paraId="0B474A84" w14:textId="77777777" w:rsidR="000373B1" w:rsidRDefault="000373B1">
      <w:pPr>
        <w:spacing w:before="80"/>
      </w:pPr>
    </w:p>
    <w:p w14:paraId="49025975" w14:textId="77777777" w:rsidR="000373B1" w:rsidRDefault="00C52EC5">
      <w:pPr>
        <w:pStyle w:val="ListParagraph"/>
        <w:numPr>
          <w:ilvl w:val="0"/>
          <w:numId w:val="2"/>
        </w:numPr>
        <w:spacing w:before="40" w:after="40"/>
      </w:pPr>
      <w:r>
        <w:rPr>
          <w:b/>
          <w:bCs/>
          <w:color w:val="211F20"/>
        </w:rPr>
        <w:t xml:space="preserve">Group By Box: </w:t>
      </w:r>
      <w:r>
        <w:rPr>
          <w:color w:val="211F20"/>
        </w:rPr>
        <w:t>Drag a column header — such as Employee or Vendor — into the Group By Box at the top of the transactions list. The data will reorganize into expandable groups. Drag it back out to remove the grouping. This works the same way as described in PM Guide § 0.5.</w:t>
      </w:r>
    </w:p>
    <w:p w14:paraId="7A2EBD7C" w14:textId="77777777" w:rsidR="000373B1" w:rsidRDefault="00C52EC5">
      <w:pPr>
        <w:pStyle w:val="ListParagraph"/>
        <w:numPr>
          <w:ilvl w:val="0"/>
          <w:numId w:val="2"/>
        </w:numPr>
        <w:spacing w:before="40" w:after="40"/>
      </w:pPr>
      <w:r>
        <w:rPr>
          <w:b/>
          <w:bCs/>
          <w:color w:val="211F20"/>
        </w:rPr>
        <w:t xml:space="preserve">Add or remove columns: </w:t>
      </w:r>
      <w:r>
        <w:rPr>
          <w:color w:val="211F20"/>
        </w:rPr>
        <w:t>Right-click on a column header to add or remove columns from the view. This lets you focus on the data most relevant to your review.</w:t>
      </w:r>
    </w:p>
    <w:p w14:paraId="6E283209" w14:textId="77777777" w:rsidR="000373B1" w:rsidRDefault="000373B1">
      <w:pPr>
        <w:spacing w:before="100"/>
      </w:pPr>
    </w:p>
    <w:p w14:paraId="17146401" w14:textId="77777777" w:rsidR="000373B1" w:rsidRDefault="00C52EC5">
      <w:pPr>
        <w:pStyle w:val="Heading2"/>
      </w:pPr>
      <w:r>
        <w:t>3.4  Viewing Prior Pre-Bill Comments</w:t>
      </w:r>
    </w:p>
    <w:p w14:paraId="044D4106" w14:textId="77777777" w:rsidR="000373B1" w:rsidRDefault="00C52EC5">
      <w:pPr>
        <w:spacing w:before="60" w:after="100"/>
      </w:pPr>
      <w:r>
        <w:rPr>
          <w:color w:val="211F20"/>
        </w:rPr>
        <w:lastRenderedPageBreak/>
        <w:t xml:space="preserve">If you want to review the comment history from a previous month's Pre-Bill — for example, to check what was agreed on for a particular project — re-run the Bills Inquiry </w:t>
      </w:r>
      <w:r>
        <w:rPr>
          <w:b/>
          <w:bCs/>
          <w:color w:val="211F20"/>
        </w:rPr>
        <w:t>without</w:t>
      </w:r>
      <w:r>
        <w:rPr>
          <w:color w:val="211F20"/>
        </w:rPr>
        <w:t xml:space="preserve"> Latest Pre-Bill checked. This will surface Pre-Bills from prior periods. Open the relevant one to see the full comment thread.</w:t>
      </w:r>
    </w:p>
    <w:p w14:paraId="22C441AC" w14:textId="77777777" w:rsidR="000373B1" w:rsidRDefault="000373B1">
      <w:pPr>
        <w:spacing w:before="100"/>
      </w:pPr>
    </w:p>
    <w:p w14:paraId="5E1829B1" w14:textId="77777777" w:rsidR="000373B1" w:rsidRDefault="00C52EC5">
      <w:pPr>
        <w:pStyle w:val="Heading2"/>
      </w:pPr>
      <w:r>
        <w:t>3.5  Overrides — For Later Use</w:t>
      </w:r>
    </w:p>
    <w:p w14:paraId="60044CB5" w14:textId="77777777" w:rsidR="000373B1" w:rsidRDefault="00C52EC5">
      <w:pPr>
        <w:spacing w:before="60" w:after="100"/>
      </w:pPr>
      <w:r>
        <w:rPr>
          <w:color w:val="211F20"/>
        </w:rPr>
        <w:t>The Overrides tab allows a PM to manually adjust the billing amount for a specific task. For example, if the Pre-Bill is suggesting $7,500 (75%) for Pre-Design but you only want to bill $5,000 (50%), you would click the hyperlink for that task on the invoice preview, which opens the override field in the Overrides tab. You enter your desired amount and press Enter.</w:t>
      </w:r>
    </w:p>
    <w:p w14:paraId="1FFF9AB1" w14:textId="77777777" w:rsidR="000373B1" w:rsidRDefault="000373B1">
      <w:pPr>
        <w:spacing w:before="80"/>
      </w:pPr>
    </w:p>
    <w:p w14:paraId="2BDE3119" w14:textId="77777777" w:rsidR="000373B1" w:rsidRDefault="00C52EC5">
      <w:pPr>
        <w:spacing w:before="60" w:after="100"/>
      </w:pPr>
      <w:r>
        <w:rPr>
          <w:color w:val="211F20"/>
        </w:rPr>
        <w:t xml:space="preserve">After making an override, you need to </w:t>
      </w:r>
      <w:r>
        <w:rPr>
          <w:b/>
          <w:bCs/>
          <w:color w:val="211F20"/>
        </w:rPr>
        <w:t>restate the Pre-Bill</w:t>
      </w:r>
      <w:r>
        <w:rPr>
          <w:color w:val="211F20"/>
        </w:rPr>
        <w:t xml:space="preserve"> to see the updated invoice preview. Navigate to the </w:t>
      </w:r>
      <w:r>
        <w:rPr>
          <w:b/>
          <w:bCs/>
          <w:color w:val="211F20"/>
        </w:rPr>
        <w:t>Actions icon</w:t>
      </w:r>
      <w:r>
        <w:rPr>
          <w:color w:val="211F20"/>
        </w:rPr>
        <w:t xml:space="preserve"> in the Toolbar — it resembles a movie clapperboard — click the drop-down beside it, and select </w:t>
      </w:r>
      <w:r>
        <w:rPr>
          <w:b/>
          <w:bCs/>
          <w:color w:val="211F20"/>
        </w:rPr>
        <w:t>Restate</w:t>
      </w:r>
      <w:r>
        <w:rPr>
          <w:color w:val="211F20"/>
        </w:rPr>
        <w:t xml:space="preserve">. This refreshes the Pre-Bill calculations based on your changes. Note that </w:t>
      </w:r>
      <w:r>
        <w:rPr>
          <w:b/>
          <w:bCs/>
          <w:color w:val="211F20"/>
        </w:rPr>
        <w:t>Refresh Pre-Bill PDF</w:t>
      </w:r>
      <w:r>
        <w:rPr>
          <w:color w:val="211F20"/>
        </w:rPr>
        <w:t xml:space="preserve"> does not perform the same function, even though it may appear to.</w:t>
      </w:r>
    </w:p>
    <w:p w14:paraId="060E59C9" w14:textId="77777777" w:rsidR="000373B1" w:rsidRDefault="000373B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373B1" w14:paraId="2F4ED870" w14:textId="77777777">
        <w:tc>
          <w:tcPr>
            <w:tcW w:w="0" w:type="auto"/>
            <w:tcBorders>
              <w:top w:val="none" w:sz="0" w:space="0" w:color="FFFFFF"/>
              <w:left w:val="single" w:sz="8" w:space="0" w:color="F0532D"/>
              <w:bottom w:val="none" w:sz="0" w:space="0" w:color="FFFFFF"/>
              <w:right w:val="none" w:sz="0" w:space="0" w:color="FFFFFF"/>
            </w:tcBorders>
            <w:shd w:val="clear" w:color="auto" w:fill="FFF0EC"/>
            <w:tcMar>
              <w:top w:w="120" w:type="dxa"/>
              <w:left w:w="180" w:type="dxa"/>
              <w:bottom w:w="120" w:type="dxa"/>
              <w:right w:w="180" w:type="dxa"/>
            </w:tcMar>
          </w:tcPr>
          <w:p w14:paraId="6F97355B" w14:textId="77777777" w:rsidR="000373B1" w:rsidRDefault="00C52EC5">
            <w:pPr>
              <w:spacing w:after="50"/>
            </w:pPr>
            <w:r>
              <w:rPr>
                <w:b/>
                <w:bCs/>
                <w:color w:val="F0532D"/>
              </w:rPr>
              <w:t>⚠  Hold off on Overrides for now</w:t>
            </w:r>
          </w:p>
          <w:p w14:paraId="16E6CCE3" w14:textId="77777777" w:rsidR="000373B1" w:rsidRDefault="00C52EC5">
            <w:r>
              <w:rPr>
                <w:color w:val="6B3E00"/>
              </w:rPr>
              <w:t>Until you are comfortable with the override workflow, direct all billing adjustments through the Comment tab. Leave a clear note telling your PA what you want billed and they will perform the override. Some PMs may feel ready sooner than others — use your judgment, and ask your PA if you are unsure.</w:t>
            </w:r>
          </w:p>
        </w:tc>
      </w:tr>
    </w:tbl>
    <w:p w14:paraId="7ED20E76" w14:textId="77777777" w:rsidR="000373B1" w:rsidRDefault="000373B1">
      <w:pPr>
        <w:spacing w:before="160"/>
      </w:pPr>
    </w:p>
    <w:p w14:paraId="5B81B389" w14:textId="77777777" w:rsidR="000373B1" w:rsidRDefault="00C52EC5">
      <w:pPr>
        <w:pStyle w:val="Heading1"/>
        <w:pBdr>
          <w:bottom w:val="single" w:sz="8" w:space="4" w:color="15A1DA"/>
        </w:pBdr>
      </w:pPr>
      <w:r>
        <w:t>Part 4: Submitting, Deferring, and Recalling</w:t>
      </w:r>
    </w:p>
    <w:p w14:paraId="19D1738D" w14:textId="77777777" w:rsidR="000373B1" w:rsidRDefault="00C52EC5">
      <w:pPr>
        <w:pStyle w:val="Heading2"/>
      </w:pPr>
      <w:r>
        <w:t>4.1  Submitting a Pre-Bill</w:t>
      </w:r>
    </w:p>
    <w:p w14:paraId="134AA777" w14:textId="77777777" w:rsidR="000373B1" w:rsidRDefault="00C52EC5">
      <w:pPr>
        <w:spacing w:before="60" w:after="100"/>
      </w:pPr>
      <w:r>
        <w:rPr>
          <w:color w:val="211F20"/>
        </w:rPr>
        <w:t xml:space="preserve">When you have completed your review and left your billing comments, navigate to the </w:t>
      </w:r>
      <w:r>
        <w:rPr>
          <w:b/>
          <w:bCs/>
          <w:color w:val="211F20"/>
        </w:rPr>
        <w:t>Toolbar</w:t>
      </w:r>
      <w:r>
        <w:rPr>
          <w:color w:val="211F20"/>
        </w:rPr>
        <w:t xml:space="preserve"> and click the </w:t>
      </w:r>
      <w:r>
        <w:rPr>
          <w:b/>
          <w:bCs/>
          <w:color w:val="211F20"/>
        </w:rPr>
        <w:t>green arrow</w:t>
      </w:r>
      <w:r>
        <w:rPr>
          <w:color w:val="211F20"/>
        </w:rPr>
        <w:t xml:space="preserve">. Select </w:t>
      </w:r>
      <w:r>
        <w:rPr>
          <w:b/>
          <w:bCs/>
          <w:color w:val="211F20"/>
        </w:rPr>
        <w:t>Submit</w:t>
      </w:r>
      <w:r>
        <w:rPr>
          <w:color w:val="211F20"/>
        </w:rPr>
        <w:t xml:space="preserve"> from the menu. This sends the Pre-Bill out of your court and into your PA's To-Do queue for final processing.</w:t>
      </w:r>
    </w:p>
    <w:p w14:paraId="32073F65" w14:textId="77777777" w:rsidR="000373B1" w:rsidRDefault="000373B1">
      <w:pPr>
        <w:spacing w:before="80"/>
      </w:pPr>
    </w:p>
    <w:p w14:paraId="5B17E440" w14:textId="77777777" w:rsidR="000373B1" w:rsidRDefault="00C52EC5">
      <w:pPr>
        <w:spacing w:before="60" w:after="100"/>
      </w:pPr>
      <w:r>
        <w:rPr>
          <w:color w:val="211F20"/>
        </w:rPr>
        <w:t>Once you have submitted, you can no longer make changes to the Pre-Bill unless you recall it (see Section 4.3) or your PA sends it back to you for clarification.</w:t>
      </w:r>
    </w:p>
    <w:p w14:paraId="3E9C4DEE" w14:textId="77777777" w:rsidR="000373B1" w:rsidRDefault="000373B1">
      <w:pPr>
        <w:spacing w:before="100"/>
      </w:pPr>
    </w:p>
    <w:p w14:paraId="0D6685C5" w14:textId="77777777" w:rsidR="000373B1" w:rsidRDefault="00C52EC5">
      <w:pPr>
        <w:pStyle w:val="Heading2"/>
      </w:pPr>
      <w:r>
        <w:t>4.2  Deferring a Pre-Bill</w:t>
      </w:r>
    </w:p>
    <w:p w14:paraId="31269608" w14:textId="77777777" w:rsidR="000373B1" w:rsidRDefault="00C52EC5">
      <w:pPr>
        <w:spacing w:before="60" w:after="100"/>
      </w:pPr>
      <w:r>
        <w:rPr>
          <w:color w:val="211F20"/>
        </w:rPr>
        <w:t xml:space="preserve">If a project should not be billed this month — the client has requested a pause, work has not progressed enough, or any other reason — leave a comment explaining the situation, then use </w:t>
      </w:r>
      <w:r>
        <w:rPr>
          <w:b/>
          <w:bCs/>
          <w:color w:val="211F20"/>
        </w:rPr>
        <w:t>green arrow → Defer Bill</w:t>
      </w:r>
      <w:r>
        <w:rPr>
          <w:color w:val="211F20"/>
        </w:rPr>
        <w:t xml:space="preserve"> instead of Submit. This removes the Pre-Bill from the active billing queue for the current period.</w:t>
      </w:r>
    </w:p>
    <w:p w14:paraId="305684FA" w14:textId="77777777" w:rsidR="000373B1" w:rsidRDefault="000373B1">
      <w:pPr>
        <w:spacing w:before="100"/>
      </w:pPr>
    </w:p>
    <w:p w14:paraId="02383D05" w14:textId="77777777" w:rsidR="000373B1" w:rsidRDefault="00C52EC5">
      <w:pPr>
        <w:pStyle w:val="Heading2"/>
      </w:pPr>
      <w:r>
        <w:t>4.3  Recalling a Pre-Bill</w:t>
      </w:r>
    </w:p>
    <w:p w14:paraId="4289A642" w14:textId="77777777" w:rsidR="000373B1" w:rsidRDefault="00C52EC5">
      <w:pPr>
        <w:spacing w:before="60" w:after="100"/>
      </w:pPr>
      <w:r>
        <w:rPr>
          <w:color w:val="211F20"/>
        </w:rPr>
        <w:t xml:space="preserve">If you realize after submitting that you need to make a change — an additional comment, a correction to your direction, or anything else — you can use the </w:t>
      </w:r>
      <w:r>
        <w:rPr>
          <w:b/>
          <w:bCs/>
          <w:color w:val="211F20"/>
        </w:rPr>
        <w:t>Actions icon (clapperboard)</w:t>
      </w:r>
      <w:r>
        <w:rPr>
          <w:color w:val="211F20"/>
        </w:rPr>
        <w:t xml:space="preserve"> in the Toolbar and select </w:t>
      </w:r>
      <w:r>
        <w:rPr>
          <w:b/>
          <w:bCs/>
          <w:color w:val="211F20"/>
        </w:rPr>
        <w:t>Recall</w:t>
      </w:r>
      <w:r>
        <w:rPr>
          <w:color w:val="211F20"/>
        </w:rPr>
        <w:t>. This returns the Pre-Bill to Draft status, allowing you to make edits and re-submit.</w:t>
      </w:r>
    </w:p>
    <w:p w14:paraId="35BC09B9" w14:textId="77777777" w:rsidR="000373B1" w:rsidRDefault="000373B1">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373B1" w14:paraId="376FF570" w14:textId="77777777">
        <w:tc>
          <w:tcPr>
            <w:tcW w:w="0" w:type="auto"/>
            <w:tcBorders>
              <w:top w:val="none" w:sz="0" w:space="0" w:color="FFFFFF"/>
              <w:left w:val="single" w:sz="8" w:space="0" w:color="3A8FCC"/>
              <w:bottom w:val="none" w:sz="0" w:space="0" w:color="FFFFFF"/>
              <w:right w:val="none" w:sz="0" w:space="0" w:color="FFFFFF"/>
            </w:tcBorders>
            <w:shd w:val="clear" w:color="auto" w:fill="E8F7FC"/>
            <w:tcMar>
              <w:top w:w="120" w:type="dxa"/>
              <w:left w:w="180" w:type="dxa"/>
              <w:bottom w:w="120" w:type="dxa"/>
              <w:right w:w="180" w:type="dxa"/>
            </w:tcMar>
          </w:tcPr>
          <w:p w14:paraId="09CDBD3A" w14:textId="77777777" w:rsidR="000373B1" w:rsidRDefault="00C52EC5">
            <w:pPr>
              <w:spacing w:after="50"/>
            </w:pPr>
            <w:r>
              <w:rPr>
                <w:b/>
                <w:bCs/>
                <w:color w:val="3A8FCC"/>
              </w:rPr>
              <w:t>Recall works while the Pre-Bill is still in queue</w:t>
            </w:r>
          </w:p>
          <w:p w14:paraId="34E10455" w14:textId="77777777" w:rsidR="000373B1" w:rsidRDefault="00C52EC5">
            <w:r>
              <w:rPr>
                <w:color w:val="211F20"/>
              </w:rPr>
              <w:t>Recall is only available while the Pre-Bill has not yet been acted on by your PA. If your PA has already begun processing it, you will need to contact them directly to discuss any changes.</w:t>
            </w:r>
          </w:p>
        </w:tc>
      </w:tr>
    </w:tbl>
    <w:p w14:paraId="5D27AB3E" w14:textId="77777777" w:rsidR="000373B1" w:rsidRDefault="000373B1">
      <w:pPr>
        <w:spacing w:before="160"/>
      </w:pPr>
    </w:p>
    <w:p w14:paraId="6CE55BAD" w14:textId="77777777" w:rsidR="00C52EC5" w:rsidRDefault="00C52EC5"/>
    <w:sectPr w:rsidR="00C52EC5">
      <w:headerReference w:type="default" r:id="rId7"/>
      <w:pgSz w:w="12240" w:h="15840"/>
      <w:pgMar w:top="1008" w:right="1080" w:bottom="1008"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5B4D" w14:textId="77777777" w:rsidR="00731076" w:rsidRDefault="00731076">
      <w:r>
        <w:separator/>
      </w:r>
    </w:p>
  </w:endnote>
  <w:endnote w:type="continuationSeparator" w:id="0">
    <w:p w14:paraId="79E4B2D0" w14:textId="77777777" w:rsidR="00731076" w:rsidRDefault="0073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275F" w14:textId="77777777" w:rsidR="00731076" w:rsidRDefault="00731076">
      <w:r>
        <w:separator/>
      </w:r>
    </w:p>
  </w:footnote>
  <w:footnote w:type="continuationSeparator" w:id="0">
    <w:p w14:paraId="24397B76" w14:textId="77777777" w:rsidR="00731076" w:rsidRDefault="0073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60EE" w14:textId="77777777" w:rsidR="000373B1" w:rsidRDefault="00C52EC5">
    <w:pPr>
      <w:pBdr>
        <w:bottom w:val="single" w:sz="10" w:space="4" w:color="0B2A4A"/>
      </w:pBdr>
      <w:tabs>
        <w:tab w:val="right" w:pos="9360"/>
      </w:tabs>
      <w:spacing w:after="80"/>
    </w:pPr>
    <w:r>
      <w:rPr>
        <w:b/>
        <w:bCs/>
        <w:caps/>
        <w:color w:val="0B2A4A"/>
        <w:sz w:val="18"/>
        <w:szCs w:val="18"/>
      </w:rPr>
      <w:t>GRACE DESIGN</w:t>
    </w:r>
    <w:r>
      <w:rPr>
        <w:color w:val="4A8EC2"/>
        <w:sz w:val="18"/>
        <w:szCs w:val="18"/>
      </w:rPr>
      <w:t xml:space="preserve">   |   BST11 Pre-Bill Review Guide</w:t>
    </w:r>
    <w:r>
      <w:tab/>
    </w:r>
    <w:r>
      <w:rPr>
        <w:i/>
        <w:iCs/>
        <w:color w:val="687A8E"/>
        <w:sz w:val="16"/>
        <w:szCs w:val="16"/>
      </w:rPr>
      <w:t>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51"/>
    <w:multiLevelType w:val="hybridMultilevel"/>
    <w:tmpl w:val="B9D0E3F2"/>
    <w:lvl w:ilvl="0" w:tplc="7200F984">
      <w:start w:val="1"/>
      <w:numFmt w:val="bullet"/>
      <w:lvlText w:val="•"/>
      <w:lvlJc w:val="left"/>
      <w:pPr>
        <w:ind w:left="540" w:hanging="260"/>
      </w:pPr>
    </w:lvl>
    <w:lvl w:ilvl="1" w:tplc="C32ABBA6">
      <w:numFmt w:val="decimal"/>
      <w:lvlText w:val=""/>
      <w:lvlJc w:val="left"/>
    </w:lvl>
    <w:lvl w:ilvl="2" w:tplc="5D8AF68C">
      <w:numFmt w:val="decimal"/>
      <w:lvlText w:val=""/>
      <w:lvlJc w:val="left"/>
    </w:lvl>
    <w:lvl w:ilvl="3" w:tplc="0C6CFEBC">
      <w:numFmt w:val="decimal"/>
      <w:lvlText w:val=""/>
      <w:lvlJc w:val="left"/>
    </w:lvl>
    <w:lvl w:ilvl="4" w:tplc="3628EBB2">
      <w:numFmt w:val="decimal"/>
      <w:lvlText w:val=""/>
      <w:lvlJc w:val="left"/>
    </w:lvl>
    <w:lvl w:ilvl="5" w:tplc="8DAEC848">
      <w:numFmt w:val="decimal"/>
      <w:lvlText w:val=""/>
      <w:lvlJc w:val="left"/>
    </w:lvl>
    <w:lvl w:ilvl="6" w:tplc="01DC9166">
      <w:numFmt w:val="decimal"/>
      <w:lvlText w:val=""/>
      <w:lvlJc w:val="left"/>
    </w:lvl>
    <w:lvl w:ilvl="7" w:tplc="84B0F9F8">
      <w:numFmt w:val="decimal"/>
      <w:lvlText w:val=""/>
      <w:lvlJc w:val="left"/>
    </w:lvl>
    <w:lvl w:ilvl="8" w:tplc="24A8932A">
      <w:numFmt w:val="decimal"/>
      <w:lvlText w:val=""/>
      <w:lvlJc w:val="left"/>
    </w:lvl>
  </w:abstractNum>
  <w:abstractNum w:abstractNumId="1" w15:restartNumberingAfterBreak="0">
    <w:nsid w:val="12806798"/>
    <w:multiLevelType w:val="hybridMultilevel"/>
    <w:tmpl w:val="E8768F00"/>
    <w:lvl w:ilvl="0" w:tplc="98BC1246">
      <w:start w:val="1"/>
      <w:numFmt w:val="bullet"/>
      <w:lvlText w:val="●"/>
      <w:lvlJc w:val="left"/>
      <w:pPr>
        <w:ind w:left="720" w:hanging="360"/>
      </w:pPr>
    </w:lvl>
    <w:lvl w:ilvl="1" w:tplc="840AE1B2">
      <w:start w:val="1"/>
      <w:numFmt w:val="bullet"/>
      <w:lvlText w:val="○"/>
      <w:lvlJc w:val="left"/>
      <w:pPr>
        <w:ind w:left="1440" w:hanging="360"/>
      </w:pPr>
    </w:lvl>
    <w:lvl w:ilvl="2" w:tplc="25BAA6E0">
      <w:start w:val="1"/>
      <w:numFmt w:val="bullet"/>
      <w:lvlText w:val="■"/>
      <w:lvlJc w:val="left"/>
      <w:pPr>
        <w:ind w:left="2160" w:hanging="360"/>
      </w:pPr>
    </w:lvl>
    <w:lvl w:ilvl="3" w:tplc="8850F946">
      <w:start w:val="1"/>
      <w:numFmt w:val="bullet"/>
      <w:lvlText w:val="●"/>
      <w:lvlJc w:val="left"/>
      <w:pPr>
        <w:ind w:left="2880" w:hanging="360"/>
      </w:pPr>
    </w:lvl>
    <w:lvl w:ilvl="4" w:tplc="98F6AAE8">
      <w:start w:val="1"/>
      <w:numFmt w:val="bullet"/>
      <w:lvlText w:val="○"/>
      <w:lvlJc w:val="left"/>
      <w:pPr>
        <w:ind w:left="3600" w:hanging="360"/>
      </w:pPr>
    </w:lvl>
    <w:lvl w:ilvl="5" w:tplc="F934E7F8">
      <w:start w:val="1"/>
      <w:numFmt w:val="bullet"/>
      <w:lvlText w:val="■"/>
      <w:lvlJc w:val="left"/>
      <w:pPr>
        <w:ind w:left="4320" w:hanging="360"/>
      </w:pPr>
    </w:lvl>
    <w:lvl w:ilvl="6" w:tplc="D54C7DF2">
      <w:start w:val="1"/>
      <w:numFmt w:val="bullet"/>
      <w:lvlText w:val="●"/>
      <w:lvlJc w:val="left"/>
      <w:pPr>
        <w:ind w:left="5040" w:hanging="360"/>
      </w:pPr>
    </w:lvl>
    <w:lvl w:ilvl="7" w:tplc="5574A112">
      <w:start w:val="1"/>
      <w:numFmt w:val="bullet"/>
      <w:lvlText w:val="●"/>
      <w:lvlJc w:val="left"/>
      <w:pPr>
        <w:ind w:left="5760" w:hanging="360"/>
      </w:pPr>
    </w:lvl>
    <w:lvl w:ilvl="8" w:tplc="9C4C7FF2">
      <w:start w:val="1"/>
      <w:numFmt w:val="bullet"/>
      <w:lvlText w:val="●"/>
      <w:lvlJc w:val="left"/>
      <w:pPr>
        <w:ind w:left="6480" w:hanging="360"/>
      </w:pPr>
    </w:lvl>
  </w:abstractNum>
  <w:num w:numId="1" w16cid:durableId="1424258382">
    <w:abstractNumId w:val="1"/>
    <w:lvlOverride w:ilvl="0">
      <w:startOverride w:val="1"/>
    </w:lvlOverride>
  </w:num>
  <w:num w:numId="2" w16cid:durableId="6624694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B1"/>
    <w:rsid w:val="000373B1"/>
    <w:rsid w:val="0023126B"/>
    <w:rsid w:val="002A5B8B"/>
    <w:rsid w:val="00731076"/>
    <w:rsid w:val="00AD2928"/>
    <w:rsid w:val="00B5329E"/>
    <w:rsid w:val="00B95B51"/>
    <w:rsid w:val="00C52EC5"/>
    <w:rsid w:val="00F6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0DE1"/>
  <w15:docId w15:val="{33CEF1BB-DE69-4520-BB7C-5F772619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19"/>
        <w:szCs w:val="19"/>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657A0"/>
      <w:sz w:val="32"/>
      <w:szCs w:val="32"/>
    </w:rPr>
  </w:style>
  <w:style w:type="paragraph" w:styleId="Heading2">
    <w:name w:val="heading 2"/>
    <w:uiPriority w:val="9"/>
    <w:unhideWhenUsed/>
    <w:qFormat/>
    <w:pPr>
      <w:spacing w:before="280" w:after="100"/>
      <w:outlineLvl w:val="1"/>
    </w:pPr>
    <w:rPr>
      <w:b/>
      <w:bCs/>
      <w:color w:val="2171C7"/>
      <w:sz w:val="26"/>
      <w:szCs w:val="26"/>
    </w:rPr>
  </w:style>
  <w:style w:type="paragraph" w:styleId="Heading3">
    <w:name w:val="heading 3"/>
    <w:uiPriority w:val="9"/>
    <w:semiHidden/>
    <w:unhideWhenUsed/>
    <w:qFormat/>
    <w:pPr>
      <w:spacing w:before="200" w:after="80"/>
      <w:outlineLvl w:val="2"/>
    </w:pPr>
    <w:rPr>
      <w:b/>
      <w:bCs/>
      <w:color w:val="1A2733"/>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8819</Characters>
  <Application>Microsoft Office Word</Application>
  <DocSecurity>0</DocSecurity>
  <Lines>173</Lines>
  <Paragraphs>76</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Nick Newman</cp:lastModifiedBy>
  <cp:revision>2</cp:revision>
  <dcterms:created xsi:type="dcterms:W3CDTF">2026-04-27T11:34:00Z</dcterms:created>
  <dcterms:modified xsi:type="dcterms:W3CDTF">2026-04-27T11:34:00Z</dcterms:modified>
</cp:coreProperties>
</file>