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EDF5" w14:textId="6945A569" w:rsidR="005F0590" w:rsidRPr="000F7A2A" w:rsidRDefault="009B4CB4" w:rsidP="0045573F">
      <w:pPr>
        <w:pStyle w:val="Title"/>
        <w:spacing w:before="0" w:after="120"/>
        <w:rPr>
          <w:color w:val="000000" w:themeColor="text1"/>
        </w:rPr>
      </w:pPr>
      <w:r w:rsidRPr="000F7A2A">
        <w:rPr>
          <w:color w:val="000000" w:themeColor="text1"/>
        </w:rPr>
        <w:t xml:space="preserve">Code Analysis </w:t>
      </w:r>
    </w:p>
    <w:p w14:paraId="12ADBFBA" w14:textId="0A36EE97" w:rsidR="005F0590" w:rsidRPr="000F7A2A" w:rsidRDefault="00F80525" w:rsidP="0045573F">
      <w:pPr>
        <w:pStyle w:val="Heading3"/>
        <w:spacing w:before="0" w:after="120"/>
        <w:rPr>
          <w:rFonts w:ascii="Open Sans" w:hAnsi="Open Sans" w:cs="Open Sans"/>
          <w:color w:val="000000" w:themeColor="text1"/>
          <w:sz w:val="18"/>
          <w:szCs w:val="18"/>
        </w:rPr>
      </w:pPr>
      <w:r w:rsidRPr="000F7A2A">
        <w:rPr>
          <w:color w:val="000000" w:themeColor="text1"/>
        </w:rPr>
        <w:t xml:space="preserve">Project Name: </w:t>
      </w:r>
    </w:p>
    <w:p w14:paraId="2EA0EF74" w14:textId="12B6A4EE" w:rsidR="005F0590" w:rsidRPr="000F7A2A" w:rsidRDefault="00F80525" w:rsidP="0045573F">
      <w:pPr>
        <w:pStyle w:val="Heading3"/>
        <w:spacing w:before="0" w:after="120"/>
        <w:rPr>
          <w:color w:val="000000" w:themeColor="text1"/>
        </w:rPr>
      </w:pPr>
      <w:r w:rsidRPr="000F7A2A">
        <w:rPr>
          <w:color w:val="000000" w:themeColor="text1"/>
        </w:rPr>
        <w:t xml:space="preserve">Project </w:t>
      </w:r>
      <w:r w:rsidR="003A5C30">
        <w:rPr>
          <w:color w:val="000000" w:themeColor="text1"/>
        </w:rPr>
        <w:t>#</w:t>
      </w:r>
      <w:r w:rsidRPr="000F7A2A">
        <w:rPr>
          <w:color w:val="000000" w:themeColor="text1"/>
        </w:rPr>
        <w:t>: xx/xx/</w:t>
      </w:r>
      <w:proofErr w:type="spellStart"/>
      <w:r w:rsidRPr="000F7A2A">
        <w:rPr>
          <w:color w:val="000000" w:themeColor="text1"/>
        </w:rPr>
        <w:t>xxxx</w:t>
      </w:r>
      <w:proofErr w:type="spellEnd"/>
      <w:r w:rsidRPr="000F7A2A">
        <w:rPr>
          <w:color w:val="000000" w:themeColor="text1"/>
        </w:rPr>
        <w:tab/>
      </w:r>
      <w:r w:rsidRPr="000F7A2A">
        <w:rPr>
          <w:color w:val="000000" w:themeColor="text1"/>
        </w:rPr>
        <w:tab/>
      </w:r>
    </w:p>
    <w:p w14:paraId="2E9C31EB" w14:textId="204C1B57" w:rsidR="005F0590" w:rsidRPr="000F7A2A" w:rsidRDefault="00F80525" w:rsidP="0045573F">
      <w:pPr>
        <w:pStyle w:val="Heading3"/>
        <w:spacing w:before="0" w:after="120"/>
        <w:rPr>
          <w:color w:val="000000" w:themeColor="text1"/>
        </w:rPr>
      </w:pPr>
      <w:r w:rsidRPr="000F7A2A">
        <w:rPr>
          <w:color w:val="000000" w:themeColor="text1"/>
        </w:rPr>
        <w:t>Location: city, state (street address if known)</w:t>
      </w:r>
    </w:p>
    <w:p w14:paraId="3933D811" w14:textId="5F21D184" w:rsidR="005F0590" w:rsidRPr="000F7A2A" w:rsidRDefault="00F80525" w:rsidP="0045573F">
      <w:pPr>
        <w:pStyle w:val="Heading3"/>
        <w:spacing w:before="0" w:after="120"/>
        <w:rPr>
          <w:color w:val="000000" w:themeColor="text1"/>
        </w:rPr>
      </w:pPr>
      <w:r w:rsidRPr="000F7A2A">
        <w:rPr>
          <w:color w:val="000000" w:themeColor="text1"/>
        </w:rPr>
        <w:t>Performed By:  names of staff completing</w:t>
      </w:r>
    </w:p>
    <w:p w14:paraId="19DB1208" w14:textId="2533D4FF" w:rsidR="005F0590" w:rsidRDefault="00F80525" w:rsidP="0045573F">
      <w:pPr>
        <w:pStyle w:val="Heading3"/>
        <w:spacing w:before="0" w:after="120"/>
        <w:rPr>
          <w:color w:val="000000" w:themeColor="text1"/>
        </w:rPr>
      </w:pPr>
      <w:r w:rsidRPr="000F7A2A">
        <w:rPr>
          <w:color w:val="000000" w:themeColor="text1"/>
        </w:rPr>
        <w:t>Date:  Month day, year – revised month day, year (if/when revised)</w:t>
      </w:r>
      <w:r w:rsidR="005F0590" w:rsidRPr="000F7A2A">
        <w:rPr>
          <w:color w:val="000000" w:themeColor="text1"/>
        </w:rPr>
        <w:tab/>
      </w:r>
    </w:p>
    <w:p w14:paraId="7702350F" w14:textId="77777777" w:rsidR="002F1060" w:rsidRPr="002F1060" w:rsidRDefault="002F1060" w:rsidP="002F1060"/>
    <w:tbl>
      <w:tblPr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5404"/>
        <w:gridCol w:w="5396"/>
      </w:tblGrid>
      <w:tr w:rsidR="000F7A2A" w:rsidRPr="000F7A2A" w14:paraId="73D80EDA" w14:textId="77777777" w:rsidTr="00D0324B">
        <w:tc>
          <w:tcPr>
            <w:tcW w:w="5508" w:type="dxa"/>
            <w:shd w:val="clear" w:color="auto" w:fill="auto"/>
          </w:tcPr>
          <w:p w14:paraId="044F7688" w14:textId="47132665" w:rsidR="005F0590" w:rsidRPr="000F7A2A" w:rsidRDefault="005F0590" w:rsidP="008A0A32">
            <w:pPr>
              <w:pStyle w:val="Heading3"/>
              <w:spacing w:before="0" w:after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APPLICABLE CODES AND REGULATIONS</w:t>
            </w:r>
          </w:p>
        </w:tc>
        <w:tc>
          <w:tcPr>
            <w:tcW w:w="5508" w:type="dxa"/>
            <w:shd w:val="clear" w:color="auto" w:fill="auto"/>
          </w:tcPr>
          <w:p w14:paraId="7782E6AA" w14:textId="132D7227" w:rsidR="005F0590" w:rsidRPr="000F7A2A" w:rsidRDefault="005F0590" w:rsidP="008A0A32">
            <w:pPr>
              <w:spacing w:before="0" w:after="0"/>
              <w:rPr>
                <w:rFonts w:cs="Arial"/>
                <w:color w:val="000000" w:themeColor="text1"/>
                <w:sz w:val="24"/>
              </w:rPr>
            </w:pPr>
          </w:p>
        </w:tc>
      </w:tr>
      <w:tr w:rsidR="005F0590" w:rsidRPr="006A1F49" w14:paraId="30152EB6" w14:textId="77777777" w:rsidTr="00D0324B">
        <w:tc>
          <w:tcPr>
            <w:tcW w:w="5508" w:type="dxa"/>
            <w:shd w:val="clear" w:color="auto" w:fill="auto"/>
          </w:tcPr>
          <w:p w14:paraId="42BEAE37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Building Code:  </w:t>
            </w:r>
          </w:p>
          <w:p w14:paraId="282E58E9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2015 International Building Code (IBC)</w:t>
            </w:r>
            <w:r w:rsidRPr="005F0590">
              <w:rPr>
                <w:rFonts w:ascii="Open Sans" w:hAnsi="Open Sans" w:cs="Open Sans"/>
                <w:szCs w:val="20"/>
              </w:rPr>
              <w:br/>
            </w:r>
          </w:p>
        </w:tc>
        <w:tc>
          <w:tcPr>
            <w:tcW w:w="5508" w:type="dxa"/>
            <w:shd w:val="clear" w:color="auto" w:fill="auto"/>
          </w:tcPr>
          <w:p w14:paraId="1515AFD3" w14:textId="4165CCE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Plumbing Code: </w:t>
            </w:r>
          </w:p>
          <w:p w14:paraId="7C06E892" w14:textId="1F25A6A5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2015 International Plumbing Code (IPC)</w:t>
            </w:r>
          </w:p>
        </w:tc>
      </w:tr>
      <w:tr w:rsidR="005F0590" w:rsidRPr="006A1F49" w14:paraId="5689BF92" w14:textId="77777777" w:rsidTr="00D0324B">
        <w:tc>
          <w:tcPr>
            <w:tcW w:w="5508" w:type="dxa"/>
            <w:shd w:val="clear" w:color="auto" w:fill="auto"/>
          </w:tcPr>
          <w:p w14:paraId="37ADD7C1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Energy Code:  </w:t>
            </w:r>
          </w:p>
          <w:p w14:paraId="233AE693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2009 International Energy Code (IECC)</w:t>
            </w:r>
            <w:r w:rsidRPr="005F0590">
              <w:rPr>
                <w:rFonts w:ascii="Open Sans" w:hAnsi="Open Sans" w:cs="Open Sans"/>
                <w:color w:val="0000FF"/>
                <w:szCs w:val="20"/>
              </w:rPr>
              <w:br/>
            </w:r>
          </w:p>
        </w:tc>
        <w:tc>
          <w:tcPr>
            <w:tcW w:w="5508" w:type="dxa"/>
            <w:shd w:val="clear" w:color="auto" w:fill="auto"/>
          </w:tcPr>
          <w:p w14:paraId="25AC589D" w14:textId="5A8BA739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Fire Code: </w:t>
            </w:r>
          </w:p>
          <w:p w14:paraId="5FD05640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2012 International Fire Code (IFC)</w:t>
            </w:r>
          </w:p>
        </w:tc>
      </w:tr>
      <w:tr w:rsidR="005F0590" w:rsidRPr="006A1F49" w14:paraId="119C43C1" w14:textId="77777777" w:rsidTr="00D0324B">
        <w:tc>
          <w:tcPr>
            <w:tcW w:w="5508" w:type="dxa"/>
            <w:shd w:val="clear" w:color="auto" w:fill="auto"/>
          </w:tcPr>
          <w:p w14:paraId="7D873A92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Electrical Code: </w:t>
            </w:r>
          </w:p>
          <w:p w14:paraId="47DF00E1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2014 National Electrical Code (NEC)</w:t>
            </w:r>
          </w:p>
        </w:tc>
        <w:tc>
          <w:tcPr>
            <w:tcW w:w="5508" w:type="dxa"/>
            <w:shd w:val="clear" w:color="auto" w:fill="auto"/>
          </w:tcPr>
          <w:p w14:paraId="51318BBB" w14:textId="4D46ECCF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Life Safety: </w:t>
            </w:r>
          </w:p>
          <w:p w14:paraId="74CA7686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b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NFPA 101, the Life Safety Code, 2015 Edition – Ch 18</w:t>
            </w:r>
          </w:p>
          <w:p w14:paraId="1631DA9C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0000FF"/>
                <w:szCs w:val="20"/>
              </w:rPr>
              <w:t xml:space="preserve"> </w:t>
            </w:r>
          </w:p>
        </w:tc>
      </w:tr>
      <w:tr w:rsidR="005F0590" w:rsidRPr="006A1F49" w14:paraId="343D9CF6" w14:textId="77777777" w:rsidTr="00D0324B">
        <w:tc>
          <w:tcPr>
            <w:tcW w:w="5508" w:type="dxa"/>
            <w:shd w:val="clear" w:color="auto" w:fill="auto"/>
          </w:tcPr>
          <w:p w14:paraId="32DFF59E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Mechanical Code:  </w:t>
            </w:r>
          </w:p>
          <w:p w14:paraId="54DE7235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2015 International Mechanical Code (IMC)</w:t>
            </w:r>
          </w:p>
        </w:tc>
        <w:tc>
          <w:tcPr>
            <w:tcW w:w="5508" w:type="dxa"/>
            <w:shd w:val="clear" w:color="auto" w:fill="auto"/>
          </w:tcPr>
          <w:p w14:paraId="74D043DA" w14:textId="0E029648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Administrative Code: </w:t>
            </w:r>
          </w:p>
          <w:p w14:paraId="74C7F1E9" w14:textId="29868912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b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LAC – Title 48, Public Health – General</w:t>
            </w:r>
          </w:p>
          <w:p w14:paraId="35987141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FGI 2014 edition</w:t>
            </w:r>
          </w:p>
        </w:tc>
      </w:tr>
      <w:tr w:rsidR="005F0590" w:rsidRPr="006A1F49" w14:paraId="721841C0" w14:textId="77777777" w:rsidTr="00D0324B">
        <w:tc>
          <w:tcPr>
            <w:tcW w:w="5508" w:type="dxa"/>
            <w:shd w:val="clear" w:color="auto" w:fill="auto"/>
            <w:vAlign w:val="bottom"/>
          </w:tcPr>
          <w:p w14:paraId="3ABB54BF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Accessibility Code:  </w:t>
            </w:r>
          </w:p>
          <w:p w14:paraId="3FAEF2E3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b/>
                <w:color w:val="0000FF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2010 ADA</w:t>
            </w:r>
          </w:p>
        </w:tc>
        <w:tc>
          <w:tcPr>
            <w:tcW w:w="5508" w:type="dxa"/>
            <w:shd w:val="clear" w:color="auto" w:fill="auto"/>
          </w:tcPr>
          <w:p w14:paraId="35A8BD97" w14:textId="4B7323BC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Fuel Gas Code: </w:t>
            </w:r>
          </w:p>
          <w:p w14:paraId="257E1C81" w14:textId="77777777" w:rsidR="005F0590" w:rsidRPr="005F0590" w:rsidRDefault="005F0590" w:rsidP="008A0A32">
            <w:pPr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2015 International Fuel Gas Code (IFGC)</w:t>
            </w:r>
          </w:p>
        </w:tc>
      </w:tr>
    </w:tbl>
    <w:p w14:paraId="7F9E2D76" w14:textId="4ADC2505" w:rsidR="005F0590" w:rsidRPr="008A0A32" w:rsidRDefault="005F0590" w:rsidP="008A0A32">
      <w:pPr>
        <w:pStyle w:val="Heading1"/>
        <w:rPr>
          <w:color w:val="000000" w:themeColor="text1"/>
        </w:rPr>
      </w:pPr>
      <w:r w:rsidRPr="008A0A32">
        <w:rPr>
          <w:color w:val="000000" w:themeColor="text1"/>
        </w:rPr>
        <w:t>PROJECT DESCRIPTION</w:t>
      </w:r>
    </w:p>
    <w:tbl>
      <w:tblPr>
        <w:tblW w:w="10980" w:type="dxa"/>
        <w:tblInd w:w="18" w:type="dxa"/>
        <w:tblLook w:val="0000" w:firstRow="0" w:lastRow="0" w:firstColumn="0" w:lastColumn="0" w:noHBand="0" w:noVBand="0"/>
      </w:tblPr>
      <w:tblGrid>
        <w:gridCol w:w="10980"/>
      </w:tblGrid>
      <w:tr w:rsidR="005F0590" w:rsidRPr="00DC495B" w14:paraId="4C483F33" w14:textId="77777777" w:rsidTr="00D0324B">
        <w:tc>
          <w:tcPr>
            <w:tcW w:w="10980" w:type="dxa"/>
            <w:vAlign w:val="center"/>
          </w:tcPr>
          <w:p w14:paraId="72430BA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 xml:space="preserve">Single story Critical Access Hospital with an adjacent MOB.  Primary departments include Emergency Department, Diagnostic Imaging, 16 Bed Inpatient Care Unit, and required support spaces.  </w:t>
            </w:r>
          </w:p>
          <w:p w14:paraId="7B38C771" w14:textId="3890C2CF" w:rsidR="005F0590" w:rsidRPr="00213AB3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Hospital administrative services will be in the MOB.</w:t>
            </w:r>
          </w:p>
        </w:tc>
      </w:tr>
    </w:tbl>
    <w:p w14:paraId="609EA9AB" w14:textId="41DFDD89" w:rsidR="005F0590" w:rsidRPr="000F7A2A" w:rsidRDefault="005F0590" w:rsidP="0045573F">
      <w:pPr>
        <w:pStyle w:val="Heading1"/>
        <w:spacing w:before="0"/>
        <w:rPr>
          <w:color w:val="000000" w:themeColor="text1"/>
        </w:rPr>
      </w:pPr>
      <w:r w:rsidRPr="000F7A2A">
        <w:rPr>
          <w:color w:val="000000" w:themeColor="text1"/>
        </w:rPr>
        <w:t>OCCUPANCY CLASSIFICATION</w:t>
      </w: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1753"/>
        <w:gridCol w:w="1352"/>
        <w:gridCol w:w="1350"/>
        <w:gridCol w:w="1350"/>
        <w:gridCol w:w="270"/>
        <w:gridCol w:w="1439"/>
        <w:gridCol w:w="236"/>
        <w:gridCol w:w="215"/>
      </w:tblGrid>
      <w:tr w:rsidR="005F0590" w:rsidRPr="005F0590" w14:paraId="512DB660" w14:textId="77777777" w:rsidTr="00D0324B">
        <w:trPr>
          <w:trHeight w:val="35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5739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0000FF"/>
                <w:szCs w:val="18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>(IBC Chapter 3, Sec 308) (LSC Chapter 18)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F3E2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right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6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DB5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b/>
                <w:szCs w:val="18"/>
              </w:rPr>
              <w:t>BUILDING OCCUPANCIES</w:t>
            </w:r>
          </w:p>
        </w:tc>
      </w:tr>
      <w:tr w:rsidR="005F0590" w:rsidRPr="005F0590" w14:paraId="76898D5B" w14:textId="77777777" w:rsidTr="00D0324B">
        <w:trPr>
          <w:trHeight w:val="314"/>
        </w:trPr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A55B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right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58D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b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18"/>
              </w:rPr>
              <w:t>I-2 Occupancy</w:t>
            </w:r>
          </w:p>
          <w:p w14:paraId="0B3A2AE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b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18"/>
              </w:rPr>
              <w:t>Hospital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BFB9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b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18"/>
              </w:rPr>
              <w:t>B Occupancy</w:t>
            </w:r>
          </w:p>
          <w:p w14:paraId="023FA16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b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18"/>
              </w:rPr>
              <w:t>MOB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ED1B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b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F49C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DEC9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18"/>
              </w:rPr>
              <w:t>Totals</w:t>
            </w:r>
          </w:p>
        </w:tc>
      </w:tr>
      <w:tr w:rsidR="005F0590" w:rsidRPr="005F0590" w14:paraId="6DD7F17F" w14:textId="77777777" w:rsidTr="00D0324B">
        <w:trPr>
          <w:trHeight w:val="98"/>
        </w:trPr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0C09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right"/>
              <w:rPr>
                <w:rFonts w:ascii="Open Sans" w:hAnsi="Open Sans" w:cs="Open Sans"/>
                <w:b/>
                <w:sz w:val="2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35EA17E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 w:val="2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0A3129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 w:val="2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B0C19D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 w:val="2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A4947B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 w:val="2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851312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 w:val="2"/>
                <w:szCs w:val="18"/>
              </w:rPr>
            </w:pPr>
          </w:p>
        </w:tc>
      </w:tr>
      <w:tr w:rsidR="005F0590" w:rsidRPr="005F0590" w14:paraId="462BDEE2" w14:textId="77777777" w:rsidTr="00D0324B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587BC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right"/>
              <w:rPr>
                <w:rFonts w:ascii="Open Sans" w:hAnsi="Open Sans" w:cs="Open Sans"/>
                <w:b/>
                <w:szCs w:val="18"/>
              </w:rPr>
            </w:pPr>
            <w:r w:rsidRPr="005F0590">
              <w:rPr>
                <w:rFonts w:ascii="Open Sans" w:hAnsi="Open Sans" w:cs="Open Sans"/>
                <w:b/>
                <w:szCs w:val="18"/>
              </w:rPr>
              <w:t>Total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1C88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57,310 sf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6BC3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14,400 sf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F1CE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5FB4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6AA3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71,710 sf</w:t>
            </w:r>
          </w:p>
        </w:tc>
      </w:tr>
      <w:tr w:rsidR="005F0590" w:rsidRPr="005F0590" w14:paraId="52D8E838" w14:textId="77777777" w:rsidTr="00D0324B">
        <w:trPr>
          <w:gridAfter w:val="1"/>
          <w:wAfter w:w="215" w:type="dxa"/>
        </w:trPr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2701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right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6258E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FA55A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42A6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right"/>
              <w:rPr>
                <w:rFonts w:ascii="Open Sans" w:hAnsi="Open Sans" w:cs="Open Sans"/>
                <w:b/>
                <w:szCs w:val="18"/>
              </w:rPr>
            </w:pPr>
            <w:r w:rsidRPr="005F0590">
              <w:rPr>
                <w:rFonts w:ascii="Open Sans" w:hAnsi="Open Sans" w:cs="Open Sans"/>
                <w:b/>
                <w:szCs w:val="18"/>
              </w:rPr>
              <w:t>Overall Buildings Total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A8EE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 xml:space="preserve"> </w:t>
            </w:r>
          </w:p>
        </w:tc>
      </w:tr>
    </w:tbl>
    <w:p w14:paraId="5F596FF9" w14:textId="77777777" w:rsidR="005F0590" w:rsidRPr="005F0590" w:rsidRDefault="005F0590" w:rsidP="0045573F">
      <w:pPr>
        <w:pStyle w:val="Heading1"/>
        <w:spacing w:before="0"/>
      </w:pPr>
      <w:r w:rsidRPr="005F0590">
        <w:lastRenderedPageBreak/>
        <w:t>MIXED USE &amp; OCCUPANCY SEPARATION</w:t>
      </w:r>
    </w:p>
    <w:p w14:paraId="0529931B" w14:textId="77777777" w:rsidR="005F0590" w:rsidRPr="005F0590" w:rsidRDefault="005F0590" w:rsidP="0045573F">
      <w:pPr>
        <w:tabs>
          <w:tab w:val="left" w:pos="2805"/>
          <w:tab w:val="left" w:pos="4862"/>
          <w:tab w:val="left" w:pos="7667"/>
          <w:tab w:val="left" w:pos="8041"/>
          <w:tab w:val="left" w:pos="8228"/>
          <w:tab w:val="left" w:pos="11220"/>
        </w:tabs>
        <w:spacing w:before="0"/>
        <w:rPr>
          <w:rFonts w:ascii="Open Sans" w:hAnsi="Open Sans" w:cs="Open Sans"/>
          <w:i/>
          <w:color w:val="15A1DA"/>
        </w:rPr>
      </w:pPr>
      <w:r w:rsidRPr="005F0590">
        <w:rPr>
          <w:rFonts w:ascii="Open Sans" w:hAnsi="Open Sans" w:cs="Open Sans"/>
          <w:i/>
          <w:color w:val="15A1DA"/>
          <w:szCs w:val="18"/>
        </w:rPr>
        <w:t>(IBC Section 508)</w:t>
      </w:r>
      <w:r w:rsidRPr="005F0590">
        <w:rPr>
          <w:rFonts w:ascii="Open Sans" w:hAnsi="Open Sans" w:cs="Open Sans"/>
          <w:i/>
          <w:color w:val="15A1DA"/>
        </w:rPr>
        <w:t xml:space="preserve">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2880"/>
        <w:gridCol w:w="1350"/>
        <w:gridCol w:w="1980"/>
      </w:tblGrid>
      <w:tr w:rsidR="005F0590" w:rsidRPr="005F0590" w14:paraId="5EAED249" w14:textId="77777777" w:rsidTr="00113532">
        <w:trPr>
          <w:trHeight w:val="54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6FD18A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 xml:space="preserve">Accessory Occupancy: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767B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Dining/Kitchen - A-2 or F-1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3391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>(IBC Ch 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1FE2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iCs/>
                <w:szCs w:val="18"/>
              </w:rPr>
            </w:pPr>
          </w:p>
        </w:tc>
      </w:tr>
      <w:tr w:rsidR="005F0590" w:rsidRPr="005F0590" w14:paraId="0B0A486B" w14:textId="77777777" w:rsidTr="00D0324B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3C6315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 xml:space="preserve">Area of Floor: 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60588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2,400 sf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0552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FC8E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</w:p>
        </w:tc>
      </w:tr>
      <w:tr w:rsidR="005F0590" w:rsidRPr="005F0590" w14:paraId="1A8E6628" w14:textId="77777777" w:rsidTr="00D0324B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488DAD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10% Maximum allowed accessory area: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3FEC6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5,700 sf (If less than 5,700 sf –</w:t>
            </w:r>
          </w:p>
          <w:p w14:paraId="7C5E03A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no separation required)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E6F9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>(IBC 508.4-footnote d, 508.2.1)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CBB29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szCs w:val="18"/>
              </w:rPr>
            </w:pPr>
          </w:p>
        </w:tc>
      </w:tr>
      <w:tr w:rsidR="005F0590" w:rsidRPr="005F0590" w14:paraId="05FD06B9" w14:textId="77777777" w:rsidTr="00D0324B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3F1BB3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A7E6A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0000FF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494F7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0000FF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797EA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szCs w:val="18"/>
              </w:rPr>
            </w:pPr>
          </w:p>
        </w:tc>
      </w:tr>
    </w:tbl>
    <w:p w14:paraId="1F12F0F3" w14:textId="36250BCC" w:rsidR="005F0590" w:rsidRPr="000F7A2A" w:rsidRDefault="005F0590" w:rsidP="0045573F">
      <w:pPr>
        <w:pStyle w:val="Heading3"/>
        <w:spacing w:before="0"/>
        <w:rPr>
          <w:color w:val="000000" w:themeColor="text1"/>
        </w:rPr>
      </w:pPr>
      <w:bookmarkStart w:id="0" w:name="_Hlk519600081"/>
      <w:r w:rsidRPr="000F7A2A">
        <w:rPr>
          <w:color w:val="000000" w:themeColor="text1"/>
        </w:rPr>
        <w:t>INCIDENTAL USES</w:t>
      </w:r>
    </w:p>
    <w:p w14:paraId="34B24D74" w14:textId="77777777" w:rsidR="005F0590" w:rsidRPr="005F0590" w:rsidRDefault="005F0590" w:rsidP="0045573F">
      <w:pPr>
        <w:tabs>
          <w:tab w:val="left" w:pos="2805"/>
          <w:tab w:val="left" w:pos="4862"/>
          <w:tab w:val="left" w:pos="7667"/>
          <w:tab w:val="left" w:pos="8041"/>
          <w:tab w:val="left" w:pos="8228"/>
          <w:tab w:val="left" w:pos="11220"/>
        </w:tabs>
        <w:spacing w:before="0"/>
        <w:rPr>
          <w:rFonts w:ascii="Open Sans" w:hAnsi="Open Sans" w:cs="Open Sans"/>
          <w:i/>
          <w:color w:val="15A1DA"/>
          <w:szCs w:val="18"/>
        </w:rPr>
      </w:pPr>
      <w:r w:rsidRPr="005F0590">
        <w:rPr>
          <w:rFonts w:ascii="Open Sans" w:hAnsi="Open Sans" w:cs="Open Sans"/>
          <w:i/>
          <w:color w:val="15A1DA"/>
          <w:szCs w:val="18"/>
        </w:rPr>
        <w:t>(IBC Table 509)</w:t>
      </w:r>
    </w:p>
    <w:p w14:paraId="3752374E" w14:textId="77777777" w:rsidR="005F0590" w:rsidRPr="005F0590" w:rsidRDefault="005F0590" w:rsidP="0045573F">
      <w:pPr>
        <w:tabs>
          <w:tab w:val="left" w:pos="2805"/>
          <w:tab w:val="left" w:pos="4862"/>
          <w:tab w:val="left" w:pos="7667"/>
          <w:tab w:val="left" w:pos="8041"/>
          <w:tab w:val="left" w:pos="8228"/>
          <w:tab w:val="left" w:pos="11220"/>
        </w:tabs>
        <w:spacing w:before="0"/>
        <w:rPr>
          <w:rFonts w:ascii="Open Sans" w:hAnsi="Open Sans" w:cs="Open Sans"/>
          <w:i/>
          <w:color w:val="15A1DA"/>
          <w:szCs w:val="18"/>
        </w:rPr>
      </w:pPr>
      <w:r w:rsidRPr="005F0590">
        <w:rPr>
          <w:rFonts w:ascii="Open Sans" w:hAnsi="Open Sans" w:cs="Open Sans"/>
          <w:i/>
          <w:color w:val="15A1DA"/>
          <w:szCs w:val="18"/>
        </w:rPr>
        <w:t>(LSC 18.3.2.1)</w:t>
      </w:r>
    </w:p>
    <w:bookmarkEnd w:id="0"/>
    <w:p w14:paraId="68206ED8" w14:textId="77777777" w:rsidR="005F0590" w:rsidRPr="005F0590" w:rsidRDefault="005F0590" w:rsidP="0045573F">
      <w:pPr>
        <w:tabs>
          <w:tab w:val="left" w:pos="2805"/>
          <w:tab w:val="left" w:pos="4862"/>
          <w:tab w:val="left" w:pos="7667"/>
          <w:tab w:val="left" w:pos="8041"/>
          <w:tab w:val="left" w:pos="8228"/>
          <w:tab w:val="left" w:pos="11220"/>
        </w:tabs>
        <w:spacing w:before="0"/>
        <w:rPr>
          <w:rFonts w:ascii="Open Sans" w:hAnsi="Open Sans" w:cs="Open Sans"/>
          <w:color w:val="0000FF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670"/>
        <w:gridCol w:w="4410"/>
      </w:tblGrid>
      <w:tr w:rsidR="005F0590" w:rsidRPr="005F0590" w14:paraId="501CA10E" w14:textId="77777777" w:rsidTr="00D0324B"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F49478F" w14:textId="77777777" w:rsidR="005F0590" w:rsidRPr="000F7A2A" w:rsidRDefault="005F0590" w:rsidP="0045573F">
            <w:pPr>
              <w:pStyle w:val="Heading3"/>
              <w:spacing w:before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Room or Area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14:paraId="794B12C9" w14:textId="77777777" w:rsidR="005F0590" w:rsidRPr="000F7A2A" w:rsidRDefault="005F0590" w:rsidP="0045573F">
            <w:pPr>
              <w:pStyle w:val="Heading3"/>
              <w:spacing w:before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Separation/Protection Required</w:t>
            </w:r>
          </w:p>
        </w:tc>
      </w:tr>
      <w:tr w:rsidR="005F0590" w:rsidRPr="005F0590" w14:paraId="594DA154" w14:textId="77777777" w:rsidTr="00D0324B"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755B6F9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  <w:r w:rsidRPr="005F0590">
              <w:rPr>
                <w:rFonts w:ascii="Open Sans" w:hAnsi="Open Sans" w:cs="Open Sans"/>
                <w:color w:val="15A1DA"/>
              </w:rPr>
              <w:t>Rooms with equipment over 400,000Btu</w:t>
            </w:r>
          </w:p>
          <w:p w14:paraId="4FD6294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  <w:r w:rsidRPr="005F0590">
              <w:rPr>
                <w:rFonts w:ascii="Open Sans" w:hAnsi="Open Sans" w:cs="Open Sans"/>
                <w:color w:val="15A1DA"/>
              </w:rPr>
              <w:t>Rooms with Boilers and equip over 15psi and 10hp</w:t>
            </w:r>
          </w:p>
          <w:p w14:paraId="65FABF8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  <w:r w:rsidRPr="005F0590">
              <w:rPr>
                <w:rFonts w:ascii="Open Sans" w:hAnsi="Open Sans" w:cs="Open Sans"/>
                <w:color w:val="15A1DA"/>
              </w:rPr>
              <w:t>Laundry Rooms over 100 sf</w:t>
            </w:r>
          </w:p>
          <w:p w14:paraId="5F93122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  <w:r w:rsidRPr="005F0590">
              <w:rPr>
                <w:rFonts w:ascii="Open Sans" w:hAnsi="Open Sans" w:cs="Open Sans"/>
                <w:color w:val="15A1DA"/>
              </w:rPr>
              <w:t>I-2 Laundry Rooms over 100 sf</w:t>
            </w:r>
          </w:p>
          <w:p w14:paraId="282C807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  <w:r w:rsidRPr="005F0590">
              <w:rPr>
                <w:rFonts w:ascii="Open Sans" w:hAnsi="Open Sans" w:cs="Open Sans"/>
                <w:color w:val="15A1DA"/>
              </w:rPr>
              <w:t xml:space="preserve">I-2 Waste &amp; Linen Collection rooms </w:t>
            </w:r>
          </w:p>
          <w:p w14:paraId="4E4A343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14:paraId="0FC1348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  <w:r w:rsidRPr="005F0590">
              <w:rPr>
                <w:rFonts w:ascii="Open Sans" w:hAnsi="Open Sans" w:cs="Open Sans"/>
                <w:color w:val="15A1DA"/>
              </w:rPr>
              <w:t>1 hour, or provide automatic sprinkler system</w:t>
            </w:r>
          </w:p>
          <w:p w14:paraId="020850F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  <w:r w:rsidRPr="005F0590">
              <w:rPr>
                <w:rFonts w:ascii="Open Sans" w:hAnsi="Open Sans" w:cs="Open Sans"/>
                <w:color w:val="15A1DA"/>
              </w:rPr>
              <w:t>1 hour, or provide automatic sprinkler system</w:t>
            </w:r>
          </w:p>
          <w:p w14:paraId="1417099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  <w:r w:rsidRPr="005F0590">
              <w:rPr>
                <w:rFonts w:ascii="Open Sans" w:hAnsi="Open Sans" w:cs="Open Sans"/>
                <w:color w:val="15A1DA"/>
              </w:rPr>
              <w:t xml:space="preserve">1 hour </w:t>
            </w:r>
          </w:p>
          <w:p w14:paraId="52D7DB5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  <w:r w:rsidRPr="005F0590">
              <w:rPr>
                <w:rFonts w:ascii="Open Sans" w:hAnsi="Open Sans" w:cs="Open Sans"/>
                <w:color w:val="15A1DA"/>
              </w:rPr>
              <w:t>1 hour</w:t>
            </w:r>
          </w:p>
          <w:p w14:paraId="3E06A89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  <w:r w:rsidRPr="005F0590">
              <w:rPr>
                <w:rFonts w:ascii="Open Sans" w:hAnsi="Open Sans" w:cs="Open Sans"/>
                <w:color w:val="15A1DA"/>
              </w:rPr>
              <w:t>1 hour</w:t>
            </w:r>
          </w:p>
          <w:p w14:paraId="207F939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</w:rPr>
            </w:pPr>
          </w:p>
        </w:tc>
      </w:tr>
    </w:tbl>
    <w:p w14:paraId="4B23DB8D" w14:textId="77777777" w:rsidR="005F0590" w:rsidRPr="000F7A2A" w:rsidRDefault="005F0590" w:rsidP="0045573F">
      <w:pPr>
        <w:pStyle w:val="Heading3"/>
        <w:spacing w:before="0"/>
        <w:rPr>
          <w:color w:val="000000" w:themeColor="text1"/>
        </w:rPr>
      </w:pPr>
      <w:r w:rsidRPr="000F7A2A">
        <w:rPr>
          <w:color w:val="000000" w:themeColor="text1"/>
        </w:rPr>
        <w:t>SEPARATED OCCUPANCIES</w:t>
      </w:r>
    </w:p>
    <w:p w14:paraId="39AA95E7" w14:textId="77777777" w:rsidR="005F0590" w:rsidRPr="005F0590" w:rsidRDefault="005F0590" w:rsidP="0045573F">
      <w:pPr>
        <w:tabs>
          <w:tab w:val="left" w:pos="2805"/>
          <w:tab w:val="left" w:pos="4862"/>
          <w:tab w:val="left" w:pos="7667"/>
          <w:tab w:val="left" w:pos="8041"/>
          <w:tab w:val="left" w:pos="8228"/>
          <w:tab w:val="left" w:pos="11220"/>
        </w:tabs>
        <w:spacing w:before="0"/>
        <w:rPr>
          <w:rFonts w:ascii="Open Sans" w:hAnsi="Open Sans" w:cs="Open Sans"/>
          <w:i/>
          <w:color w:val="15A1DA"/>
          <w:szCs w:val="18"/>
        </w:rPr>
      </w:pPr>
      <w:r w:rsidRPr="005F0590">
        <w:rPr>
          <w:rFonts w:ascii="Open Sans" w:hAnsi="Open Sans" w:cs="Open Sans"/>
          <w:i/>
          <w:color w:val="15A1DA"/>
          <w:szCs w:val="18"/>
        </w:rPr>
        <w:t>(IBC Table 508.4)</w:t>
      </w:r>
    </w:p>
    <w:p w14:paraId="6045850D" w14:textId="77777777" w:rsidR="005F0590" w:rsidRPr="005F0590" w:rsidRDefault="005F0590" w:rsidP="0045573F">
      <w:pPr>
        <w:tabs>
          <w:tab w:val="left" w:pos="2805"/>
          <w:tab w:val="left" w:pos="4862"/>
          <w:tab w:val="left" w:pos="7667"/>
          <w:tab w:val="left" w:pos="8041"/>
          <w:tab w:val="left" w:pos="8228"/>
          <w:tab w:val="left" w:pos="11220"/>
        </w:tabs>
        <w:spacing w:before="0"/>
        <w:rPr>
          <w:rFonts w:ascii="Open Sans" w:hAnsi="Open Sans" w:cs="Open Sans"/>
          <w:i/>
          <w:color w:val="15A1DA"/>
          <w:szCs w:val="18"/>
        </w:rPr>
      </w:pPr>
      <w:r w:rsidRPr="005F0590">
        <w:rPr>
          <w:rFonts w:ascii="Open Sans" w:hAnsi="Open Sans" w:cs="Open Sans"/>
          <w:i/>
          <w:color w:val="15A1DA"/>
          <w:szCs w:val="18"/>
        </w:rPr>
        <w:t>(LSC 18.1.2.1 (2))</w:t>
      </w:r>
    </w:p>
    <w:p w14:paraId="660E1E29" w14:textId="77777777" w:rsidR="005F0590" w:rsidRPr="005F0590" w:rsidRDefault="005F0590" w:rsidP="0045573F">
      <w:pPr>
        <w:tabs>
          <w:tab w:val="left" w:pos="1122"/>
          <w:tab w:val="left" w:pos="1870"/>
          <w:tab w:val="left" w:pos="2618"/>
          <w:tab w:val="left" w:pos="3366"/>
          <w:tab w:val="left" w:pos="3927"/>
          <w:tab w:val="left" w:pos="5984"/>
          <w:tab w:val="left" w:pos="7480"/>
        </w:tabs>
        <w:spacing w:before="0"/>
        <w:rPr>
          <w:rFonts w:ascii="Open Sans" w:hAnsi="Open Sans" w:cs="Open Sans"/>
          <w:color w:val="15A1DA"/>
        </w:rPr>
      </w:pPr>
    </w:p>
    <w:p w14:paraId="139ED10A" w14:textId="64FD0FD3" w:rsidR="005F0590" w:rsidRPr="00213AB3" w:rsidRDefault="005F0590" w:rsidP="0045573F">
      <w:pPr>
        <w:tabs>
          <w:tab w:val="left" w:pos="1122"/>
          <w:tab w:val="left" w:pos="1870"/>
          <w:tab w:val="left" w:pos="2618"/>
          <w:tab w:val="left" w:pos="3366"/>
          <w:tab w:val="left" w:pos="3927"/>
          <w:tab w:val="left" w:pos="5984"/>
          <w:tab w:val="left" w:pos="7480"/>
        </w:tabs>
        <w:spacing w:before="0"/>
        <w:rPr>
          <w:rFonts w:ascii="Open Sans" w:hAnsi="Open Sans" w:cs="Open Sans"/>
          <w:b/>
          <w:color w:val="808080" w:themeColor="background1" w:themeShade="80"/>
        </w:rPr>
      </w:pPr>
      <w:r w:rsidRPr="005F0590">
        <w:rPr>
          <w:rFonts w:ascii="Open Sans" w:hAnsi="Open Sans" w:cs="Open Sans"/>
          <w:b/>
          <w:color w:val="808080" w:themeColor="background1" w:themeShade="80"/>
        </w:rPr>
        <w:t>Group I-2 (Institutional) to Group B (Business) = 2 Hr. Separation Required</w:t>
      </w:r>
      <w:r w:rsidRPr="005F0590">
        <w:rPr>
          <w:rFonts w:ascii="Open Sans" w:hAnsi="Open Sans" w:cs="Open Sans"/>
        </w:rPr>
        <w:tab/>
      </w:r>
      <w:r w:rsidRPr="005F0590">
        <w:rPr>
          <w:rFonts w:ascii="Open Sans" w:hAnsi="Open Sans" w:cs="Open Sans"/>
        </w:rPr>
        <w:tab/>
      </w:r>
    </w:p>
    <w:p w14:paraId="4EC61C36" w14:textId="77777777" w:rsidR="005F0590" w:rsidRPr="000F7A2A" w:rsidRDefault="005F0590" w:rsidP="0045573F">
      <w:pPr>
        <w:pStyle w:val="Heading1"/>
        <w:spacing w:before="0"/>
        <w:rPr>
          <w:color w:val="000000" w:themeColor="text1"/>
        </w:rPr>
      </w:pPr>
      <w:r w:rsidRPr="000F7A2A">
        <w:rPr>
          <w:color w:val="000000" w:themeColor="text1"/>
        </w:rPr>
        <w:t>TYPE OF CONSTRUCTION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3960"/>
        <w:gridCol w:w="2160"/>
      </w:tblGrid>
      <w:tr w:rsidR="005F0590" w:rsidRPr="005F0590" w14:paraId="5597E319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1352A9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Construction Classification: 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AEEC8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b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Type II-B, II (000) for Hospital</w:t>
            </w:r>
          </w:p>
          <w:p w14:paraId="44B5719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b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Type II-B, II (000) for MOB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40A5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iCs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 xml:space="preserve">(IBC Table 601) </w:t>
            </w:r>
          </w:p>
          <w:p w14:paraId="049EA7C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Cs/>
                <w:color w:val="15A1DA"/>
                <w:szCs w:val="20"/>
              </w:rPr>
              <w:t>(LSC 18.1.6.2)</w:t>
            </w:r>
          </w:p>
        </w:tc>
      </w:tr>
      <w:tr w:rsidR="005F0590" w:rsidRPr="005F0590" w14:paraId="63C0CCB6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EF0137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Automatic Sprinkler System Type:  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26BC5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NFPA 13 for Hospital and MOB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13BA0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 xml:space="preserve">(IBC 903.3.1.1) </w:t>
            </w:r>
          </w:p>
          <w:p w14:paraId="67D4A4B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(LSC 18.3.5.1)</w:t>
            </w:r>
          </w:p>
        </w:tc>
      </w:tr>
    </w:tbl>
    <w:p w14:paraId="4C9F9D8D" w14:textId="77777777" w:rsidR="005F0590" w:rsidRPr="000F7A2A" w:rsidRDefault="005F0590" w:rsidP="0045573F">
      <w:pPr>
        <w:pStyle w:val="Heading3"/>
        <w:spacing w:before="0"/>
        <w:rPr>
          <w:color w:val="000000" w:themeColor="text1"/>
        </w:rPr>
      </w:pPr>
      <w:r w:rsidRPr="000F7A2A">
        <w:rPr>
          <w:color w:val="000000" w:themeColor="text1"/>
        </w:rPr>
        <w:lastRenderedPageBreak/>
        <w:t>AREA LIMITATIONS: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050"/>
        <w:gridCol w:w="2070"/>
      </w:tblGrid>
      <w:tr w:rsidR="005F0590" w:rsidRPr="005F0590" w14:paraId="66C42DEC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26C0F2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Occupancy: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8E185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b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Group I-2 (Type II-B) Hospital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8C54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</w:p>
        </w:tc>
      </w:tr>
      <w:tr w:rsidR="005F0590" w:rsidRPr="005F0590" w14:paraId="7F1D6B56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F22926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Maximum Basic Floor Area: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625F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44,000 sf (S1)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FB84A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>(IBC Table 506.2)</w:t>
            </w:r>
          </w:p>
        </w:tc>
      </w:tr>
      <w:tr w:rsidR="005F0590" w:rsidRPr="005F0590" w14:paraId="0EA20683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6ABAC9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Maximum Basic Floor Area with Frontage and Sprinkler Increase: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0806E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52,250 sf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FE7A2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 xml:space="preserve"> </w:t>
            </w:r>
          </w:p>
        </w:tc>
      </w:tr>
      <w:tr w:rsidR="005F0590" w:rsidRPr="005F0590" w14:paraId="5F3EB13C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8E0943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Actual Floor Area: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3373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 xml:space="preserve">45,785 sf Building area A and 11,525 sf Building Area B (Fire Areas Separated with 2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20"/>
              </w:rPr>
              <w:t>hr</w:t>
            </w:r>
            <w:proofErr w:type="spellEnd"/>
            <w:r w:rsidRPr="005F0590">
              <w:rPr>
                <w:rFonts w:ascii="Open Sans" w:hAnsi="Open Sans" w:cs="Open Sans"/>
                <w:color w:val="15A1DA"/>
                <w:szCs w:val="20"/>
              </w:rPr>
              <w:t xml:space="preserve"> construction – Horizontal Assembly)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8ABB4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707 &amp; 711)</w:t>
            </w:r>
          </w:p>
        </w:tc>
      </w:tr>
      <w:tr w:rsidR="005F0590" w:rsidRPr="005F0590" w14:paraId="2409E244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4BC39CA" w14:textId="77777777" w:rsidR="00113532" w:rsidRDefault="00113532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</w:p>
          <w:p w14:paraId="28435FA6" w14:textId="5F4C7F4B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Occupancy: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9361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b/>
                <w:color w:val="15A1DA"/>
                <w:szCs w:val="20"/>
              </w:rPr>
            </w:pPr>
          </w:p>
          <w:p w14:paraId="4B5D524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b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Group B (Type II-B) MOB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29FE34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</w:p>
        </w:tc>
      </w:tr>
      <w:tr w:rsidR="005F0590" w:rsidRPr="005F0590" w14:paraId="59BF1DAB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A3A083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Maximum Basic Floor Area: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A2B0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92,000 sf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32825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>(IBC Table 506.2)</w:t>
            </w:r>
          </w:p>
        </w:tc>
      </w:tr>
      <w:tr w:rsidR="005F0590" w:rsidRPr="005F0590" w14:paraId="7556BCDF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3E20FB3" w14:textId="7235D538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Maximum Basic Floor Area with Frontage and Sprinkler Increase: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81130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N/A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C4CF7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506.2)</w:t>
            </w:r>
          </w:p>
        </w:tc>
      </w:tr>
      <w:tr w:rsidR="005F0590" w:rsidRPr="005F0590" w14:paraId="62139467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B98B844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Actual Floor Area: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E1C8E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14,400 sf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E5AC6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  <w:u w:val="single"/>
              </w:rPr>
            </w:pPr>
          </w:p>
        </w:tc>
      </w:tr>
    </w:tbl>
    <w:p w14:paraId="0AE476FC" w14:textId="77777777" w:rsidR="005F0590" w:rsidRPr="000F7A2A" w:rsidRDefault="005F0590" w:rsidP="0045573F">
      <w:pPr>
        <w:pStyle w:val="Heading3"/>
        <w:spacing w:before="0"/>
        <w:rPr>
          <w:color w:val="000000" w:themeColor="text1"/>
        </w:rPr>
      </w:pPr>
      <w:r w:rsidRPr="000F7A2A">
        <w:rPr>
          <w:color w:val="000000" w:themeColor="text1"/>
        </w:rPr>
        <w:t>HEIGHT LIMITATIONS: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050"/>
        <w:gridCol w:w="2070"/>
      </w:tblGrid>
      <w:tr w:rsidR="005F0590" w:rsidRPr="005F0590" w14:paraId="6A7A66DA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9B561A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Occupancy: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162F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b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Group I-2 (Type II-B) Hospital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EFA42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</w:p>
        </w:tc>
      </w:tr>
      <w:tr w:rsidR="005F0590" w:rsidRPr="005F0590" w14:paraId="19CC6BD0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4C8B9D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Allowable Height (feet above grade plane):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8E8EF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160’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EE74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>(IBC Table 504.4)</w:t>
            </w:r>
          </w:p>
        </w:tc>
      </w:tr>
      <w:tr w:rsidR="005F0590" w:rsidRPr="005F0590" w14:paraId="2AFBEA63" w14:textId="77777777" w:rsidTr="00D0324B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250C12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Allowable Stories: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bottom"/>
          </w:tcPr>
          <w:p w14:paraId="7F1011D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4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bottom"/>
          </w:tcPr>
          <w:p w14:paraId="268A842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>(IBC Table 504.4)</w:t>
            </w:r>
          </w:p>
        </w:tc>
      </w:tr>
    </w:tbl>
    <w:p w14:paraId="1D5BB03C" w14:textId="77777777" w:rsidR="005F0590" w:rsidRPr="005F0590" w:rsidRDefault="005F0590" w:rsidP="0045573F">
      <w:pPr>
        <w:spacing w:before="0"/>
        <w:rPr>
          <w:rFonts w:ascii="Open Sans" w:hAnsi="Open Sans" w:cs="Open Sans"/>
          <w:szCs w:val="20"/>
        </w:rPr>
      </w:pPr>
    </w:p>
    <w:tbl>
      <w:tblPr>
        <w:tblW w:w="1047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"/>
        <w:gridCol w:w="4486"/>
        <w:gridCol w:w="640"/>
        <w:gridCol w:w="3180"/>
        <w:gridCol w:w="176"/>
        <w:gridCol w:w="1602"/>
        <w:gridCol w:w="180"/>
      </w:tblGrid>
      <w:tr w:rsidR="005F0590" w:rsidRPr="005F0590" w14:paraId="6248AF20" w14:textId="77777777" w:rsidTr="00425FFC">
        <w:trPr>
          <w:gridBefore w:val="1"/>
          <w:wBefore w:w="212" w:type="dxa"/>
        </w:trPr>
        <w:tc>
          <w:tcPr>
            <w:tcW w:w="5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4A03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Occupancy: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38DE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b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Group B (Type II-B) MOB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8105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</w:p>
        </w:tc>
      </w:tr>
      <w:tr w:rsidR="005F0590" w:rsidRPr="005F0590" w14:paraId="0C532DB5" w14:textId="77777777" w:rsidTr="00425FFC">
        <w:trPr>
          <w:gridBefore w:val="1"/>
          <w:wBefore w:w="212" w:type="dxa"/>
        </w:trPr>
        <w:tc>
          <w:tcPr>
            <w:tcW w:w="5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35BD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Allowable Height (feet above grade plane):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96C1D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55’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7F9B4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>(IBC Table 504.4)</w:t>
            </w:r>
          </w:p>
        </w:tc>
      </w:tr>
      <w:tr w:rsidR="005F0590" w:rsidRPr="005F0590" w14:paraId="34DB131D" w14:textId="77777777" w:rsidTr="00425FFC">
        <w:trPr>
          <w:gridBefore w:val="1"/>
          <w:wBefore w:w="212" w:type="dxa"/>
        </w:trPr>
        <w:tc>
          <w:tcPr>
            <w:tcW w:w="5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D3EE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Allowable Stories:</w:t>
            </w:r>
          </w:p>
        </w:tc>
        <w:tc>
          <w:tcPr>
            <w:tcW w:w="3356" w:type="dxa"/>
            <w:gridSpan w:val="2"/>
            <w:tcBorders>
              <w:left w:val="nil"/>
              <w:right w:val="nil"/>
            </w:tcBorders>
            <w:vAlign w:val="bottom"/>
          </w:tcPr>
          <w:p w14:paraId="0D3264E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3</w:t>
            </w:r>
          </w:p>
        </w:tc>
        <w:tc>
          <w:tcPr>
            <w:tcW w:w="1782" w:type="dxa"/>
            <w:gridSpan w:val="2"/>
            <w:tcBorders>
              <w:left w:val="nil"/>
              <w:right w:val="nil"/>
            </w:tcBorders>
            <w:vAlign w:val="bottom"/>
          </w:tcPr>
          <w:p w14:paraId="6155D50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>(IBC Table 504.4)</w:t>
            </w:r>
          </w:p>
        </w:tc>
      </w:tr>
      <w:tr w:rsidR="005F0590" w:rsidRPr="005F0590" w14:paraId="410B7EEA" w14:textId="77777777" w:rsidTr="00425FFC">
        <w:trPr>
          <w:gridAfter w:val="1"/>
          <w:wAfter w:w="180" w:type="dxa"/>
        </w:trPr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C4D38" w14:textId="792ECC1F" w:rsidR="00113532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Confirm Current Zoning, Limitations</w:t>
            </w:r>
          </w:p>
          <w:p w14:paraId="09CB1EC5" w14:textId="2DC439C8" w:rsidR="00113532" w:rsidRPr="005F0590" w:rsidRDefault="00425FFC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Current </w:t>
            </w:r>
            <w:proofErr w:type="gramStart"/>
            <w:r w:rsidRPr="005F0590">
              <w:rPr>
                <w:rFonts w:ascii="Open Sans" w:hAnsi="Open Sans" w:cs="Open Sans"/>
                <w:szCs w:val="20"/>
              </w:rPr>
              <w:t>Zoning</w:t>
            </w:r>
            <w:r w:rsidR="005F0590" w:rsidRPr="005F0590">
              <w:rPr>
                <w:rFonts w:ascii="Open Sans" w:hAnsi="Open Sans" w:cs="Open Sans"/>
                <w:szCs w:val="20"/>
              </w:rPr>
              <w:t>:</w:t>
            </w:r>
            <w:r w:rsidR="00113532">
              <w:rPr>
                <w:rFonts w:ascii="Open Sans" w:hAnsi="Open Sans" w:cs="Open Sans"/>
                <w:szCs w:val="20"/>
              </w:rPr>
              <w:t>_</w:t>
            </w:r>
            <w:proofErr w:type="gramEnd"/>
            <w:r w:rsidR="00113532">
              <w:rPr>
                <w:rFonts w:ascii="Open Sans" w:hAnsi="Open Sans" w:cs="Open Sans"/>
                <w:szCs w:val="20"/>
              </w:rPr>
              <w:t>_________________________</w:t>
            </w:r>
          </w:p>
          <w:p w14:paraId="4E505965" w14:textId="77777777" w:rsidR="00425FFC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and Requirements</w:t>
            </w:r>
            <w:r w:rsidRPr="005F0590">
              <w:rPr>
                <w:rFonts w:ascii="Open Sans" w:hAnsi="Open Sans" w:cs="Open Sans"/>
                <w:szCs w:val="20"/>
              </w:rPr>
              <w:tab/>
            </w:r>
          </w:p>
          <w:p w14:paraId="5B8307D6" w14:textId="2B53F0F9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Specific Plans: Use </w:t>
            </w:r>
            <w:proofErr w:type="gramStart"/>
            <w:r w:rsidRPr="005F0590">
              <w:rPr>
                <w:rFonts w:ascii="Open Sans" w:hAnsi="Open Sans" w:cs="Open Sans"/>
                <w:szCs w:val="20"/>
              </w:rPr>
              <w:t>Allowed?:</w:t>
            </w:r>
            <w:proofErr w:type="gramEnd"/>
            <w:r w:rsidRPr="005F0590">
              <w:rPr>
                <w:rFonts w:ascii="Open Sans" w:hAnsi="Open Sans" w:cs="Open Sans"/>
                <w:szCs w:val="20"/>
              </w:rPr>
              <w:tab/>
              <w:t> </w:t>
            </w:r>
          </w:p>
          <w:p w14:paraId="4CD07801" w14:textId="31EDB5C4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Area </w:t>
            </w:r>
            <w:proofErr w:type="gramStart"/>
            <w:r w:rsidRPr="005F0590">
              <w:rPr>
                <w:rFonts w:ascii="Open Sans" w:hAnsi="Open Sans" w:cs="Open Sans"/>
                <w:szCs w:val="20"/>
              </w:rPr>
              <w:t>Limit:</w:t>
            </w:r>
            <w:r w:rsidR="00425FFC">
              <w:rPr>
                <w:rFonts w:ascii="Open Sans" w:hAnsi="Open Sans" w:cs="Open Sans"/>
                <w:szCs w:val="20"/>
              </w:rPr>
              <w:t>_</w:t>
            </w:r>
            <w:proofErr w:type="gramEnd"/>
            <w:r w:rsidR="00425FFC">
              <w:rPr>
                <w:rFonts w:ascii="Open Sans" w:hAnsi="Open Sans" w:cs="Open Sans"/>
                <w:szCs w:val="20"/>
              </w:rPr>
              <w:t>_______________________</w:t>
            </w:r>
          </w:p>
          <w:p w14:paraId="7498A157" w14:textId="79A0E7C6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Parking </w:t>
            </w:r>
            <w:proofErr w:type="gramStart"/>
            <w:r w:rsidRPr="005F0590">
              <w:rPr>
                <w:rFonts w:ascii="Open Sans" w:hAnsi="Open Sans" w:cs="Open Sans"/>
                <w:szCs w:val="20"/>
              </w:rPr>
              <w:t>Req.:</w:t>
            </w:r>
            <w:r w:rsidR="00425FFC">
              <w:rPr>
                <w:rFonts w:ascii="Open Sans" w:hAnsi="Open Sans" w:cs="Open Sans"/>
                <w:szCs w:val="20"/>
              </w:rPr>
              <w:t>_</w:t>
            </w:r>
            <w:proofErr w:type="gramEnd"/>
            <w:r w:rsidR="00425FFC">
              <w:rPr>
                <w:rFonts w:ascii="Open Sans" w:hAnsi="Open Sans" w:cs="Open Sans"/>
                <w:szCs w:val="20"/>
              </w:rPr>
              <w:t>____________________</w:t>
            </w:r>
            <w:r w:rsidRPr="005F0590">
              <w:rPr>
                <w:rFonts w:ascii="Open Sans" w:hAnsi="Open Sans" w:cs="Open Sans"/>
                <w:szCs w:val="20"/>
              </w:rPr>
              <w:tab/>
            </w:r>
            <w:r w:rsidR="00425FFC">
              <w:rPr>
                <w:rFonts w:ascii="Open Sans" w:hAnsi="Open Sans" w:cs="Open Sans"/>
                <w:szCs w:val="20"/>
              </w:rPr>
              <w:t>_</w:t>
            </w:r>
          </w:p>
          <w:p w14:paraId="1E7284C9" w14:textId="1EBF0C3A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proofErr w:type="gramStart"/>
            <w:r w:rsidRPr="005F0590">
              <w:rPr>
                <w:rFonts w:ascii="Open Sans" w:hAnsi="Open Sans" w:cs="Open Sans"/>
                <w:szCs w:val="20"/>
              </w:rPr>
              <w:t>F.A.R.:</w:t>
            </w:r>
            <w:r w:rsidR="00425FFC">
              <w:rPr>
                <w:rFonts w:ascii="Open Sans" w:hAnsi="Open Sans" w:cs="Open Sans"/>
                <w:szCs w:val="20"/>
              </w:rPr>
              <w:t>_</w:t>
            </w:r>
            <w:proofErr w:type="gramEnd"/>
            <w:r w:rsidR="00425FFC">
              <w:rPr>
                <w:rFonts w:ascii="Open Sans" w:hAnsi="Open Sans" w:cs="Open Sans"/>
                <w:szCs w:val="20"/>
              </w:rPr>
              <w:t>_____________________________</w:t>
            </w:r>
          </w:p>
          <w:p w14:paraId="2A5CE85D" w14:textId="4CE1B425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Lot </w:t>
            </w:r>
            <w:proofErr w:type="gramStart"/>
            <w:r w:rsidRPr="005F0590">
              <w:rPr>
                <w:rFonts w:ascii="Open Sans" w:hAnsi="Open Sans" w:cs="Open Sans"/>
                <w:szCs w:val="20"/>
              </w:rPr>
              <w:t>Coverage:</w:t>
            </w:r>
            <w:r w:rsidR="00425FFC">
              <w:rPr>
                <w:rFonts w:ascii="Open Sans" w:hAnsi="Open Sans" w:cs="Open Sans"/>
                <w:szCs w:val="20"/>
              </w:rPr>
              <w:t>_</w:t>
            </w:r>
            <w:proofErr w:type="gramEnd"/>
            <w:r w:rsidR="00425FFC">
              <w:rPr>
                <w:rFonts w:ascii="Open Sans" w:hAnsi="Open Sans" w:cs="Open Sans"/>
                <w:szCs w:val="20"/>
              </w:rPr>
              <w:t>_________________________</w:t>
            </w:r>
          </w:p>
          <w:p w14:paraId="494B0D5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lastRenderedPageBreak/>
              <w:t>Zoning Case No.</w:t>
            </w:r>
            <w:r w:rsidRPr="005F0590">
              <w:rPr>
                <w:rFonts w:ascii="Open Sans" w:hAnsi="Open Sans" w:cs="Open Sans"/>
                <w:szCs w:val="20"/>
              </w:rPr>
              <w:tab/>
              <w:t>  </w:t>
            </w:r>
          </w:p>
          <w:p w14:paraId="5F4C202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Other Applicable Case Nos.</w:t>
            </w:r>
            <w:r w:rsidRPr="005F0590">
              <w:rPr>
                <w:rFonts w:ascii="Open Sans" w:hAnsi="Open Sans" w:cs="Open Sans"/>
                <w:szCs w:val="20"/>
              </w:rPr>
              <w:tab/>
              <w:t> </w:t>
            </w:r>
          </w:p>
          <w:p w14:paraId="646B1350" w14:textId="77777777" w:rsidR="00113532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Identify Potential Conflicts Between</w:t>
            </w:r>
            <w:r w:rsidR="00113532">
              <w:rPr>
                <w:rFonts w:ascii="Open Sans" w:hAnsi="Open Sans" w:cs="Open Sans"/>
                <w:szCs w:val="20"/>
              </w:rPr>
              <w:t xml:space="preserve"> </w:t>
            </w:r>
          </w:p>
          <w:p w14:paraId="354BB82B" w14:textId="7A9CD453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 w:after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Codes and</w:t>
            </w:r>
            <w:r w:rsidR="00113532">
              <w:rPr>
                <w:rFonts w:ascii="Open Sans" w:hAnsi="Open Sans" w:cs="Open Sans"/>
                <w:szCs w:val="20"/>
              </w:rPr>
              <w:t xml:space="preserve"> </w:t>
            </w:r>
            <w:r w:rsidRPr="005F0590">
              <w:rPr>
                <w:rFonts w:ascii="Open Sans" w:hAnsi="Open Sans" w:cs="Open Sans"/>
                <w:szCs w:val="20"/>
              </w:rPr>
              <w:t>Ordinances</w:t>
            </w:r>
          </w:p>
          <w:p w14:paraId="34E51E4B" w14:textId="2A009E88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Current Code and Zoning Confirmation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7E076" w14:textId="77777777" w:rsidR="00113532" w:rsidRPr="005F0590" w:rsidRDefault="00113532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AF81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iCs/>
                <w:color w:val="15A1DA"/>
                <w:szCs w:val="20"/>
              </w:rPr>
            </w:pPr>
          </w:p>
        </w:tc>
      </w:tr>
    </w:tbl>
    <w:p w14:paraId="7110AF92" w14:textId="77777777" w:rsidR="005F0590" w:rsidRPr="000F7A2A" w:rsidRDefault="005F0590" w:rsidP="0045573F">
      <w:pPr>
        <w:pStyle w:val="Heading1"/>
        <w:spacing w:before="0"/>
        <w:rPr>
          <w:color w:val="000000" w:themeColor="text1"/>
        </w:rPr>
      </w:pPr>
      <w:r w:rsidRPr="000F7A2A">
        <w:rPr>
          <w:color w:val="000000" w:themeColor="text1"/>
        </w:rPr>
        <w:t>FIRE RESISTANCE REQUIREMENTS</w:t>
      </w:r>
    </w:p>
    <w:tbl>
      <w:tblPr>
        <w:tblpPr w:leftFromText="180" w:rightFromText="180" w:vertAnchor="text" w:tblpX="18" w:tblpY="1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"/>
        <w:gridCol w:w="4140"/>
        <w:gridCol w:w="3359"/>
        <w:gridCol w:w="2761"/>
      </w:tblGrid>
      <w:tr w:rsidR="005F0590" w:rsidRPr="006A1F49" w14:paraId="4CAEE8B1" w14:textId="77777777" w:rsidTr="00D0324B"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C68B4" w14:textId="77777777" w:rsidR="005F0590" w:rsidRPr="0068172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cs="Arial"/>
                <w:i/>
                <w:color w:val="15A1DA"/>
                <w:szCs w:val="20"/>
              </w:rPr>
            </w:pPr>
            <w:r w:rsidRPr="00681720">
              <w:rPr>
                <w:rFonts w:cs="Arial"/>
                <w:i/>
                <w:color w:val="15A1DA"/>
                <w:szCs w:val="20"/>
              </w:rPr>
              <w:t>(IBC, Table 601)</w:t>
            </w:r>
          </w:p>
          <w:p w14:paraId="4AB99430" w14:textId="77777777" w:rsidR="005F0590" w:rsidRPr="006A1F49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cs="Arial"/>
                <w:i/>
                <w:color w:val="FF0000"/>
                <w:szCs w:val="18"/>
              </w:rPr>
            </w:pPr>
            <w:r w:rsidRPr="00681720">
              <w:rPr>
                <w:rFonts w:cs="Arial"/>
                <w:i/>
                <w:color w:val="15A1DA"/>
                <w:szCs w:val="20"/>
              </w:rPr>
              <w:t>(NFPA 220)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14:paraId="4C76C443" w14:textId="77777777" w:rsidR="005F0590" w:rsidRPr="006A1F49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cs="Arial"/>
                <w:color w:val="0000FF"/>
                <w:szCs w:val="18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41B7B" w14:textId="77777777" w:rsidR="005F0590" w:rsidRPr="006A1F49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center"/>
              <w:rPr>
                <w:rFonts w:cs="Arial"/>
                <w:i/>
                <w:iCs/>
                <w:szCs w:val="18"/>
              </w:rPr>
            </w:pPr>
          </w:p>
        </w:tc>
      </w:tr>
      <w:tr w:rsidR="005F0590" w:rsidRPr="005F0590" w14:paraId="01437BC8" w14:textId="77777777" w:rsidTr="00D0324B">
        <w:trPr>
          <w:gridBefore w:val="1"/>
          <w:wBefore w:w="90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1B22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Construction Type: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D846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b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18"/>
              </w:rPr>
              <w:t>II-B / II (000) Hospital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8E0AD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b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b/>
                <w:color w:val="15A1DA"/>
                <w:szCs w:val="18"/>
              </w:rPr>
              <w:t>II-B / II (000) MOB</w:t>
            </w:r>
          </w:p>
        </w:tc>
      </w:tr>
      <w:tr w:rsidR="005F0590" w:rsidRPr="005F0590" w14:paraId="34CC8691" w14:textId="77777777" w:rsidTr="00D0324B">
        <w:trPr>
          <w:gridBefore w:val="1"/>
          <w:wBefore w:w="90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4F063A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Structural Frame: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CAA4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8D679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</w:p>
        </w:tc>
      </w:tr>
      <w:tr w:rsidR="005F0590" w:rsidRPr="005F0590" w14:paraId="20FC50A9" w14:textId="77777777" w:rsidTr="00D0324B">
        <w:trPr>
          <w:gridBefore w:val="1"/>
          <w:wBefore w:w="90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55339D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Bearing Walls, Exterior: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DE22A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NA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E33F3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NA</w:t>
            </w:r>
          </w:p>
        </w:tc>
      </w:tr>
      <w:tr w:rsidR="005F0590" w:rsidRPr="005F0590" w14:paraId="7E31033A" w14:textId="77777777" w:rsidTr="00D0324B">
        <w:trPr>
          <w:gridBefore w:val="1"/>
          <w:wBefore w:w="90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AAF21A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Bearing Walls, Interior:</w:t>
            </w:r>
          </w:p>
        </w:tc>
        <w:tc>
          <w:tcPr>
            <w:tcW w:w="335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AB280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NA</w:t>
            </w:r>
          </w:p>
        </w:tc>
        <w:tc>
          <w:tcPr>
            <w:tcW w:w="27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02CB53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NA</w:t>
            </w:r>
          </w:p>
        </w:tc>
      </w:tr>
      <w:tr w:rsidR="005F0590" w:rsidRPr="005F0590" w14:paraId="19E0B517" w14:textId="77777777" w:rsidTr="00D0324B">
        <w:trPr>
          <w:gridBefore w:val="1"/>
          <w:wBefore w:w="90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955B8D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Non-bearing Walls, Exterior (based on separation):</w:t>
            </w:r>
          </w:p>
        </w:tc>
        <w:tc>
          <w:tcPr>
            <w:tcW w:w="3359" w:type="dxa"/>
            <w:tcBorders>
              <w:left w:val="nil"/>
              <w:right w:val="nil"/>
            </w:tcBorders>
            <w:vAlign w:val="bottom"/>
          </w:tcPr>
          <w:p w14:paraId="28A0D1D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</w:p>
        </w:tc>
        <w:tc>
          <w:tcPr>
            <w:tcW w:w="2761" w:type="dxa"/>
            <w:tcBorders>
              <w:left w:val="nil"/>
              <w:right w:val="nil"/>
            </w:tcBorders>
            <w:vAlign w:val="bottom"/>
          </w:tcPr>
          <w:p w14:paraId="3C9E243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</w:p>
        </w:tc>
      </w:tr>
      <w:tr w:rsidR="005F0590" w:rsidRPr="005F0590" w14:paraId="743ECF24" w14:textId="77777777" w:rsidTr="00D0324B">
        <w:trPr>
          <w:gridBefore w:val="1"/>
          <w:wBefore w:w="90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C8FFC0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Floor Construction (incl. beams and joists):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C4C674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NA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FE1A2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NA</w:t>
            </w:r>
          </w:p>
        </w:tc>
      </w:tr>
      <w:tr w:rsidR="005F0590" w:rsidRPr="005F0590" w14:paraId="385AD4E6" w14:textId="77777777" w:rsidTr="00D0324B">
        <w:trPr>
          <w:gridBefore w:val="1"/>
          <w:wBefore w:w="90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89D8B0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Roof Construction (incl. beams and joists):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B0AD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CCE7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</w:p>
        </w:tc>
      </w:tr>
    </w:tbl>
    <w:p w14:paraId="0FA65193" w14:textId="77777777" w:rsidR="005F0590" w:rsidRPr="005F0590" w:rsidRDefault="005F0590" w:rsidP="0045573F">
      <w:pPr>
        <w:spacing w:before="0"/>
        <w:rPr>
          <w:rFonts w:ascii="Open Sans" w:hAnsi="Open Sans" w:cs="Open Sans"/>
          <w:szCs w:val="18"/>
        </w:rPr>
      </w:pPr>
    </w:p>
    <w:tbl>
      <w:tblPr>
        <w:tblpPr w:leftFromText="180" w:rightFromText="180" w:vertAnchor="text" w:tblpY="1"/>
        <w:tblOverlap w:val="never"/>
        <w:tblW w:w="10260" w:type="dxa"/>
        <w:tblLook w:val="04A0" w:firstRow="1" w:lastRow="0" w:firstColumn="1" w:lastColumn="0" w:noHBand="0" w:noVBand="1"/>
      </w:tblPr>
      <w:tblGrid>
        <w:gridCol w:w="1337"/>
        <w:gridCol w:w="2858"/>
        <w:gridCol w:w="1156"/>
        <w:gridCol w:w="4909"/>
      </w:tblGrid>
      <w:tr w:rsidR="005F0590" w:rsidRPr="005F0590" w14:paraId="23CD11C1" w14:textId="77777777" w:rsidTr="00D0324B"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943BF5" w14:textId="64E83E9B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br w:type="page"/>
              <w:t>Non-Bearing Walls, Exterior</w:t>
            </w:r>
            <w:r w:rsidRPr="005F0590">
              <w:rPr>
                <w:rFonts w:ascii="Open Sans" w:hAnsi="Open Sans" w:cs="Open Sans"/>
                <w:color w:val="0000FF"/>
                <w:szCs w:val="18"/>
              </w:rPr>
              <w:t xml:space="preserve"> </w:t>
            </w: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>(IBC, Table 602)</w:t>
            </w:r>
          </w:p>
        </w:tc>
      </w:tr>
      <w:tr w:rsidR="005F0590" w:rsidRPr="005F0590" w14:paraId="6F919559" w14:textId="77777777" w:rsidTr="00D0324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D463" w14:textId="77777777" w:rsidR="005F0590" w:rsidRPr="000F7A2A" w:rsidRDefault="005F0590" w:rsidP="0045573F">
            <w:pPr>
              <w:pStyle w:val="Heading3"/>
              <w:spacing w:before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Orientation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8114" w14:textId="77777777" w:rsidR="005F0590" w:rsidRPr="000F7A2A" w:rsidRDefault="005F0590" w:rsidP="0045573F">
            <w:pPr>
              <w:pStyle w:val="Heading3"/>
              <w:spacing w:before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Restrictive Item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AF10" w14:textId="77777777" w:rsidR="005F0590" w:rsidRPr="000F7A2A" w:rsidRDefault="005F0590" w:rsidP="0045573F">
            <w:pPr>
              <w:pStyle w:val="Heading3"/>
              <w:spacing w:before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Distance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C7A3" w14:textId="77777777" w:rsidR="005F0590" w:rsidRPr="000F7A2A" w:rsidRDefault="005F0590" w:rsidP="0045573F">
            <w:pPr>
              <w:pStyle w:val="Heading3"/>
              <w:spacing w:before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Fire Resistive Rating Required</w:t>
            </w:r>
          </w:p>
        </w:tc>
      </w:tr>
      <w:tr w:rsidR="005F0590" w:rsidRPr="005F0590" w14:paraId="5A129441" w14:textId="77777777" w:rsidTr="00D0324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6F11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North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C335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Property Line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8E89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+30’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0625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</w:p>
        </w:tc>
      </w:tr>
      <w:tr w:rsidR="005F0590" w:rsidRPr="005F0590" w14:paraId="74D89471" w14:textId="77777777" w:rsidTr="00D0324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6126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 xml:space="preserve">South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B8FC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Property Line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6EA5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+30’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7447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</w:p>
        </w:tc>
      </w:tr>
      <w:tr w:rsidR="005F0590" w:rsidRPr="005F0590" w14:paraId="5F08F098" w14:textId="77777777" w:rsidTr="00D0324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AC49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East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4276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Property Line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8FD1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+30’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34F2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</w:p>
        </w:tc>
      </w:tr>
      <w:tr w:rsidR="005F0590" w:rsidRPr="005F0590" w14:paraId="64B0771B" w14:textId="77777777" w:rsidTr="00D0324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D866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West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B173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Property Line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4DF0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+30’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BCC4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</w:p>
        </w:tc>
      </w:tr>
      <w:tr w:rsidR="005F0590" w:rsidRPr="005F0590" w14:paraId="11B231DA" w14:textId="77777777" w:rsidTr="00D0324B">
        <w:tc>
          <w:tcPr>
            <w:tcW w:w="102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0D620B9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*Due to building shape, internal separations exist</w:t>
            </w:r>
          </w:p>
        </w:tc>
      </w:tr>
    </w:tbl>
    <w:p w14:paraId="7C2F2719" w14:textId="77777777" w:rsidR="005F0590" w:rsidRPr="005F0590" w:rsidRDefault="005F0590" w:rsidP="0045573F">
      <w:pPr>
        <w:spacing w:before="0"/>
        <w:rPr>
          <w:rFonts w:ascii="Open Sans" w:hAnsi="Open Sans" w:cs="Open Sans"/>
          <w:vanish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37"/>
        <w:gridCol w:w="2065"/>
        <w:gridCol w:w="1620"/>
        <w:gridCol w:w="2258"/>
        <w:gridCol w:w="1162"/>
        <w:gridCol w:w="1898"/>
      </w:tblGrid>
      <w:tr w:rsidR="005F0590" w:rsidRPr="005F0590" w14:paraId="62CF3976" w14:textId="77777777" w:rsidTr="005F0590">
        <w:tc>
          <w:tcPr>
            <w:tcW w:w="103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7FBDF0C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</w:p>
          <w:p w14:paraId="54A897AA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0000FF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Allowable Area of Openings, Exterior</w:t>
            </w:r>
            <w:r w:rsidRPr="005F0590">
              <w:rPr>
                <w:rFonts w:ascii="Open Sans" w:hAnsi="Open Sans" w:cs="Open Sans"/>
                <w:color w:val="0000FF"/>
                <w:szCs w:val="18"/>
              </w:rPr>
              <w:t xml:space="preserve"> </w:t>
            </w: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>(IBC, Table 705.8)</w:t>
            </w:r>
          </w:p>
        </w:tc>
      </w:tr>
      <w:tr w:rsidR="005F0590" w:rsidRPr="005F0590" w14:paraId="0028BB96" w14:textId="77777777" w:rsidTr="005F0590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4280" w14:textId="77777777" w:rsidR="005F0590" w:rsidRPr="000F7A2A" w:rsidRDefault="005F0590" w:rsidP="0045573F">
            <w:pPr>
              <w:pStyle w:val="Heading3"/>
              <w:spacing w:before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Orientation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1227" w14:textId="77777777" w:rsidR="005F0590" w:rsidRPr="000F7A2A" w:rsidRDefault="005F0590" w:rsidP="0045573F">
            <w:pPr>
              <w:pStyle w:val="Heading3"/>
              <w:spacing w:before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Restrictive Item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19FE" w14:textId="77777777" w:rsidR="005F0590" w:rsidRPr="000F7A2A" w:rsidRDefault="005F0590" w:rsidP="0045573F">
            <w:pPr>
              <w:pStyle w:val="Heading3"/>
              <w:spacing w:before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Distance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E51C" w14:textId="77777777" w:rsidR="005F0590" w:rsidRPr="000F7A2A" w:rsidRDefault="005F0590" w:rsidP="0045573F">
            <w:pPr>
              <w:pStyle w:val="Heading3"/>
              <w:spacing w:before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Degree of Opening Protection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5A16" w14:textId="77777777" w:rsidR="005F0590" w:rsidRPr="000F7A2A" w:rsidRDefault="005F0590" w:rsidP="0045573F">
            <w:pPr>
              <w:pStyle w:val="Heading3"/>
              <w:spacing w:before="0"/>
              <w:rPr>
                <w:color w:val="000000" w:themeColor="text1"/>
              </w:rPr>
            </w:pPr>
            <w:r w:rsidRPr="000F7A2A">
              <w:rPr>
                <w:color w:val="000000" w:themeColor="text1"/>
              </w:rPr>
              <w:t>Allowable Area</w:t>
            </w:r>
          </w:p>
        </w:tc>
      </w:tr>
      <w:tr w:rsidR="005F0590" w:rsidRPr="005F0590" w14:paraId="748358BF" w14:textId="77777777" w:rsidTr="005F0590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28CF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North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5355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Property 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CCB4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+20’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F3A6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Unprotected, Sprinklered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1479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No Limit</w:t>
            </w:r>
          </w:p>
        </w:tc>
      </w:tr>
      <w:tr w:rsidR="005F0590" w:rsidRPr="005F0590" w14:paraId="09611E2D" w14:textId="77777777" w:rsidTr="005F0590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7BB7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 xml:space="preserve">South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FDB6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Property 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0E0E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+20’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E7E2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Unprotected, Sprinklered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96CD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No Limit</w:t>
            </w:r>
          </w:p>
        </w:tc>
      </w:tr>
      <w:tr w:rsidR="005F0590" w:rsidRPr="005F0590" w14:paraId="25BBDCC8" w14:textId="77777777" w:rsidTr="005F0590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66CE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lastRenderedPageBreak/>
              <w:t>East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F175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Property 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02D2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+20’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3304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Unprotected, Sprinklered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FCB0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No Limit</w:t>
            </w:r>
          </w:p>
        </w:tc>
      </w:tr>
      <w:tr w:rsidR="005F0590" w:rsidRPr="005F0590" w14:paraId="5A207819" w14:textId="77777777" w:rsidTr="005F0590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AD43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West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BD8E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Property 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BEBD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+20’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1D72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Unprotected, Sprinklered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6E82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No Limit</w:t>
            </w:r>
          </w:p>
        </w:tc>
      </w:tr>
      <w:tr w:rsidR="005F0590" w:rsidRPr="005F0590" w14:paraId="2A98A283" w14:textId="77777777" w:rsidTr="005F0590">
        <w:tc>
          <w:tcPr>
            <w:tcW w:w="10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AAC2F20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szCs w:val="18"/>
              </w:rPr>
            </w:pPr>
          </w:p>
        </w:tc>
      </w:tr>
      <w:tr w:rsidR="005F0590" w:rsidRPr="005F0590" w14:paraId="35B0CE9D" w14:textId="77777777" w:rsidTr="005F0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F44C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Corridors: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51F0B5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 - Smoke Partitions, (I-2)</w:t>
            </w:r>
          </w:p>
          <w:p w14:paraId="5303028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0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 (B)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8449B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 xml:space="preserve">(IBC Table 1018.1) </w:t>
            </w:r>
          </w:p>
          <w:p w14:paraId="2F0D8B9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>(LSC 8.2.4)</w:t>
            </w:r>
          </w:p>
        </w:tc>
      </w:tr>
      <w:tr w:rsidR="005F0590" w:rsidRPr="005F0590" w14:paraId="54DD8F97" w14:textId="77777777" w:rsidTr="005F0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31DB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Vertical Exit Enclosure: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  <w:vAlign w:val="bottom"/>
          </w:tcPr>
          <w:p w14:paraId="3BC72C8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 NA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3077C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i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 xml:space="preserve">(IBC 1022.2) </w:t>
            </w:r>
          </w:p>
          <w:p w14:paraId="064309D9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i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>(LSC 8.2.5.4)</w:t>
            </w:r>
          </w:p>
        </w:tc>
      </w:tr>
      <w:tr w:rsidR="005F0590" w:rsidRPr="005F0590" w14:paraId="5298C050" w14:textId="77777777" w:rsidTr="005F0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A71D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Vertical Openings (shafts):</w:t>
            </w:r>
          </w:p>
        </w:tc>
        <w:tc>
          <w:tcPr>
            <w:tcW w:w="387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14D303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 xml:space="preserve">1 </w:t>
            </w:r>
            <w:proofErr w:type="spellStart"/>
            <w:r w:rsidRPr="005F0590">
              <w:rPr>
                <w:rFonts w:ascii="Open Sans" w:hAnsi="Open Sans" w:cs="Open Sans"/>
                <w:color w:val="15A1DA"/>
                <w:szCs w:val="18"/>
              </w:rPr>
              <w:t>Hr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3FD79F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i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>(IBC 707.5 ,713.12)</w:t>
            </w:r>
          </w:p>
          <w:p w14:paraId="113FAB3B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i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>(LSC 8.2.5.3)</w:t>
            </w:r>
          </w:p>
        </w:tc>
      </w:tr>
      <w:tr w:rsidR="005F0590" w:rsidRPr="005F0590" w14:paraId="42CF5041" w14:textId="77777777" w:rsidTr="005F0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69AA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693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337A721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i/>
                <w:iCs/>
                <w:szCs w:val="18"/>
              </w:rPr>
            </w:pPr>
          </w:p>
          <w:p w14:paraId="091341C8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i/>
                <w:color w:val="0000FF"/>
                <w:szCs w:val="18"/>
              </w:rPr>
            </w:pPr>
            <w:r w:rsidRPr="005F0590">
              <w:rPr>
                <w:rFonts w:ascii="Open Sans" w:hAnsi="Open Sans" w:cs="Open Sans"/>
                <w:i/>
                <w:iCs/>
                <w:szCs w:val="18"/>
              </w:rPr>
              <w:t>Note: If shaft does not extend to underside of deck, top must be closed with same rated construction of shaft</w:t>
            </w:r>
          </w:p>
        </w:tc>
      </w:tr>
      <w:tr w:rsidR="005F0590" w:rsidRPr="005F0590" w14:paraId="67ABDA2C" w14:textId="77777777" w:rsidTr="005F0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699B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 xml:space="preserve">Elevator </w:t>
            </w:r>
            <w:proofErr w:type="spellStart"/>
            <w:r w:rsidRPr="005F0590">
              <w:rPr>
                <w:rFonts w:ascii="Open Sans" w:hAnsi="Open Sans" w:cs="Open Sans"/>
                <w:szCs w:val="18"/>
              </w:rPr>
              <w:t>Hoistway</w:t>
            </w:r>
            <w:proofErr w:type="spellEnd"/>
            <w:r w:rsidRPr="005F0590">
              <w:rPr>
                <w:rFonts w:ascii="Open Sans" w:hAnsi="Open Sans" w:cs="Open Sans"/>
                <w:szCs w:val="18"/>
              </w:rPr>
              <w:t xml:space="preserve"> Protection: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D847A7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NA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B17C5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i/>
                <w:color w:val="15A1DA"/>
                <w:szCs w:val="18"/>
              </w:rPr>
            </w:pPr>
          </w:p>
        </w:tc>
      </w:tr>
      <w:tr w:rsidR="005F0590" w:rsidRPr="005F0590" w14:paraId="16EC0A10" w14:textId="77777777" w:rsidTr="005F0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DC29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r w:rsidRPr="005F0590">
              <w:rPr>
                <w:rFonts w:ascii="Open Sans" w:hAnsi="Open Sans" w:cs="Open Sans"/>
                <w:szCs w:val="18"/>
              </w:rPr>
              <w:t>Fire Blocking required: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80122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Not required in non-combustible construction.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45F59C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i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>(IBC 718.2)</w:t>
            </w:r>
          </w:p>
        </w:tc>
      </w:tr>
      <w:tr w:rsidR="005F0590" w:rsidRPr="005F0590" w14:paraId="5F95E29C" w14:textId="77777777" w:rsidTr="005F0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AB79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  <w:proofErr w:type="spellStart"/>
            <w:r w:rsidRPr="005F0590">
              <w:rPr>
                <w:rFonts w:ascii="Open Sans" w:hAnsi="Open Sans" w:cs="Open Sans"/>
                <w:szCs w:val="18"/>
              </w:rPr>
              <w:t>Draftstopping</w:t>
            </w:r>
            <w:proofErr w:type="spellEnd"/>
            <w:r w:rsidRPr="005F0590">
              <w:rPr>
                <w:rFonts w:ascii="Open Sans" w:hAnsi="Open Sans" w:cs="Open Sans"/>
                <w:szCs w:val="18"/>
              </w:rPr>
              <w:t xml:space="preserve"> required: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730C4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color w:val="15A1DA"/>
                <w:szCs w:val="18"/>
              </w:rPr>
              <w:t>Not required in non-combustible construction.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AA268F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i/>
                <w:color w:val="15A1DA"/>
                <w:szCs w:val="18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18"/>
              </w:rPr>
              <w:t>(IBC 717.3)</w:t>
            </w:r>
          </w:p>
        </w:tc>
      </w:tr>
      <w:tr w:rsidR="005F0590" w:rsidRPr="005F0590" w14:paraId="6BC1C596" w14:textId="77777777" w:rsidTr="005F0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3706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9B472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0000FF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57E0F" w14:textId="77777777" w:rsidR="005F0590" w:rsidRPr="005F0590" w:rsidRDefault="005F0590" w:rsidP="0045573F">
            <w:pPr>
              <w:spacing w:before="0"/>
              <w:rPr>
                <w:rFonts w:ascii="Open Sans" w:hAnsi="Open Sans" w:cs="Open Sans"/>
                <w:i/>
                <w:color w:val="0000FF"/>
                <w:szCs w:val="18"/>
              </w:rPr>
            </w:pPr>
          </w:p>
        </w:tc>
      </w:tr>
    </w:tbl>
    <w:p w14:paraId="25783A70" w14:textId="77777777" w:rsidR="005F0590" w:rsidRPr="005F0590" w:rsidRDefault="005F0590" w:rsidP="0045573F">
      <w:pPr>
        <w:spacing w:before="0"/>
        <w:rPr>
          <w:rFonts w:ascii="Open Sans" w:hAnsi="Open Sans" w:cs="Open Sans"/>
          <w:szCs w:val="18"/>
        </w:rPr>
      </w:pPr>
    </w:p>
    <w:p w14:paraId="4E7638BC" w14:textId="77777777" w:rsidR="005F0590" w:rsidRPr="000F7A2A" w:rsidRDefault="005F0590" w:rsidP="0045573F">
      <w:pPr>
        <w:pStyle w:val="Heading1"/>
        <w:spacing w:before="0"/>
        <w:rPr>
          <w:color w:val="000000" w:themeColor="text1"/>
        </w:rPr>
      </w:pPr>
      <w:r w:rsidRPr="000F7A2A">
        <w:rPr>
          <w:color w:val="000000" w:themeColor="text1"/>
        </w:rPr>
        <w:t>FIRE RESISTANCE REQUIREMENTS FOR DOORS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3060"/>
        <w:gridCol w:w="3060"/>
      </w:tblGrid>
      <w:tr w:rsidR="005F0590" w:rsidRPr="006A1F49" w14:paraId="47A4CFDA" w14:textId="77777777" w:rsidTr="00D0324B">
        <w:trPr>
          <w:cantSplit/>
        </w:trPr>
        <w:tc>
          <w:tcPr>
            <w:tcW w:w="4140" w:type="dxa"/>
          </w:tcPr>
          <w:p w14:paraId="286B50A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Doors into Exit Stairs: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3801CDA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iCs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 xml:space="preserve">NA  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383BD90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 xml:space="preserve">(IBC Table 716.5) </w:t>
            </w:r>
          </w:p>
          <w:p w14:paraId="6B0205C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(LSC 8.2.3.2.3.1)</w:t>
            </w:r>
          </w:p>
        </w:tc>
      </w:tr>
      <w:tr w:rsidR="005F0590" w:rsidRPr="006A1F49" w14:paraId="6B46258F" w14:textId="77777777" w:rsidTr="00D0324B">
        <w:trPr>
          <w:cantSplit/>
        </w:trPr>
        <w:tc>
          <w:tcPr>
            <w:tcW w:w="4140" w:type="dxa"/>
          </w:tcPr>
          <w:p w14:paraId="18C6C45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Laundry Rooms over 100 sf: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66DB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45 Min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C870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Table 716.5)</w:t>
            </w:r>
          </w:p>
          <w:p w14:paraId="4A243D0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(LSC 8.2.3.2.3.1)</w:t>
            </w:r>
          </w:p>
        </w:tc>
      </w:tr>
      <w:tr w:rsidR="005F0590" w:rsidRPr="006A1F49" w14:paraId="223C9156" w14:textId="77777777" w:rsidTr="00D0324B">
        <w:trPr>
          <w:cantSplit/>
        </w:trPr>
        <w:tc>
          <w:tcPr>
            <w:tcW w:w="4140" w:type="dxa"/>
          </w:tcPr>
          <w:p w14:paraId="7D1BCDF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Electrical Rooms: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A6A9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45 Min, if sprinklered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98945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Table 716.5)</w:t>
            </w:r>
          </w:p>
          <w:p w14:paraId="3880049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(LSC 8.2.3.2.3.1)</w:t>
            </w:r>
          </w:p>
        </w:tc>
      </w:tr>
      <w:tr w:rsidR="005F0590" w:rsidRPr="006A1F49" w14:paraId="5C52025E" w14:textId="77777777" w:rsidTr="00D0324B">
        <w:trPr>
          <w:cantSplit/>
        </w:trPr>
        <w:tc>
          <w:tcPr>
            <w:tcW w:w="4140" w:type="dxa"/>
          </w:tcPr>
          <w:p w14:paraId="08A0557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Corridor Doors: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BFCD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Not Rated, Smoke Tight only, no closers unless in rated wall.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0986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407.3.1)</w:t>
            </w:r>
          </w:p>
          <w:p w14:paraId="34848E4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(LSC 8.2.3.6.4)</w:t>
            </w:r>
          </w:p>
        </w:tc>
      </w:tr>
      <w:tr w:rsidR="005F0590" w:rsidRPr="006A1F49" w14:paraId="69FBD20F" w14:textId="77777777" w:rsidTr="00D0324B">
        <w:trPr>
          <w:cantSplit/>
        </w:trPr>
        <w:tc>
          <w:tcPr>
            <w:tcW w:w="4140" w:type="dxa"/>
          </w:tcPr>
          <w:p w14:paraId="5131B72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lastRenderedPageBreak/>
              <w:t>Smoke Barrier Doors: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D09D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20 Min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E9A4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 xml:space="preserve">(IBC Table 716.5) </w:t>
            </w:r>
          </w:p>
          <w:p w14:paraId="74F1594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(LSC 8.2.3.2.3.1)</w:t>
            </w:r>
          </w:p>
        </w:tc>
      </w:tr>
      <w:tr w:rsidR="005F0590" w:rsidRPr="006A1F49" w14:paraId="6FA9CBE5" w14:textId="77777777" w:rsidTr="00D0324B">
        <w:trPr>
          <w:cantSplit/>
          <w:trHeight w:val="70"/>
        </w:trPr>
        <w:tc>
          <w:tcPr>
            <w:tcW w:w="4140" w:type="dxa"/>
          </w:tcPr>
          <w:p w14:paraId="7CB689A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Doors in 2 </w:t>
            </w:r>
            <w:proofErr w:type="spellStart"/>
            <w:r w:rsidRPr="005F0590">
              <w:rPr>
                <w:rFonts w:ascii="Open Sans" w:hAnsi="Open Sans" w:cs="Open Sans"/>
                <w:szCs w:val="20"/>
              </w:rPr>
              <w:t>Hr</w:t>
            </w:r>
            <w:proofErr w:type="spellEnd"/>
            <w:r w:rsidRPr="005F0590">
              <w:rPr>
                <w:rFonts w:ascii="Open Sans" w:hAnsi="Open Sans" w:cs="Open Sans"/>
                <w:szCs w:val="20"/>
              </w:rPr>
              <w:t xml:space="preserve"> Separation Walls: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B9D5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90 Min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FEC24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Table 716.5)</w:t>
            </w:r>
          </w:p>
          <w:p w14:paraId="29F3239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(LSC 8.2.3.2.3.1)</w:t>
            </w:r>
          </w:p>
        </w:tc>
      </w:tr>
    </w:tbl>
    <w:p w14:paraId="7B3A3E9D" w14:textId="77777777" w:rsidR="005F0590" w:rsidRPr="00DC495B" w:rsidRDefault="005F0590" w:rsidP="0045573F">
      <w:pPr>
        <w:spacing w:before="0"/>
      </w:pPr>
    </w:p>
    <w:p w14:paraId="04810560" w14:textId="77777777" w:rsidR="005F0590" w:rsidRPr="000F7A2A" w:rsidRDefault="005F0590" w:rsidP="0045573F">
      <w:pPr>
        <w:pStyle w:val="Heading1"/>
        <w:spacing w:before="0"/>
        <w:rPr>
          <w:bCs/>
          <w:color w:val="000000" w:themeColor="text1"/>
        </w:rPr>
      </w:pPr>
      <w:r w:rsidRPr="000F7A2A">
        <w:rPr>
          <w:color w:val="000000" w:themeColor="text1"/>
        </w:rPr>
        <w:t>FIRE PROTECTION SYSTEMS</w:t>
      </w:r>
    </w:p>
    <w:tbl>
      <w:tblPr>
        <w:tblW w:w="106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060"/>
        <w:gridCol w:w="3060"/>
      </w:tblGrid>
      <w:tr w:rsidR="005F0590" w:rsidRPr="00681720" w14:paraId="26571FE9" w14:textId="77777777" w:rsidTr="000F7A2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7DC8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Standpipe Systems: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54BF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Not required under 30’-0” building height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1144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 xml:space="preserve">(IBC 905.3.1) </w:t>
            </w:r>
          </w:p>
          <w:p w14:paraId="06C3F33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(NFPA 14)</w:t>
            </w:r>
          </w:p>
        </w:tc>
      </w:tr>
      <w:tr w:rsidR="005F0590" w:rsidRPr="00681720" w14:paraId="37A44B19" w14:textId="77777777" w:rsidTr="000F7A2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002A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Standpipe Location: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23F9F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NA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3A806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905.4)</w:t>
            </w:r>
          </w:p>
          <w:p w14:paraId="595BF3C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(NFPA 14)</w:t>
            </w:r>
          </w:p>
        </w:tc>
      </w:tr>
      <w:tr w:rsidR="005F0590" w:rsidRPr="00681720" w14:paraId="2A349BE6" w14:textId="77777777" w:rsidTr="000F7A2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1D93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Portable Fire Extinguishers: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6283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Yes, max travel distance 75’, max area for each 11,250 sf and within 30’ of commercial cooking equipment.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51595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906.1), (906.3)</w:t>
            </w:r>
          </w:p>
          <w:p w14:paraId="0EDC26A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 xml:space="preserve">(IFC 906, table 906.3) (1) </w:t>
            </w:r>
          </w:p>
          <w:p w14:paraId="2EC3D7A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(NFPA 10)</w:t>
            </w:r>
          </w:p>
        </w:tc>
      </w:tr>
      <w:tr w:rsidR="005F0590" w:rsidRPr="00681720" w14:paraId="3E5576FE" w14:textId="77777777" w:rsidTr="000F7A2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DA0E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Portable Fire Extinguishers for Commercial Cooking Equipment: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23337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 xml:space="preserve">Cooking equipment involving solid fuels or animal fats shall be protected by a </w:t>
            </w:r>
            <w:r w:rsidRPr="005F0590">
              <w:rPr>
                <w:rFonts w:ascii="Open Sans" w:hAnsi="Open Sans" w:cs="Open Sans"/>
                <w:b/>
                <w:color w:val="15A1DA"/>
                <w:szCs w:val="20"/>
              </w:rPr>
              <w:t>Class K</w:t>
            </w:r>
            <w:r w:rsidRPr="005F0590">
              <w:rPr>
                <w:rFonts w:ascii="Open Sans" w:hAnsi="Open Sans" w:cs="Open Sans"/>
                <w:color w:val="15A1DA"/>
                <w:szCs w:val="20"/>
              </w:rPr>
              <w:t xml:space="preserve"> rated portable extinguisher.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79F26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(IFC 904.11)</w:t>
            </w:r>
          </w:p>
        </w:tc>
      </w:tr>
      <w:tr w:rsidR="005F0590" w:rsidRPr="00681720" w14:paraId="54D6442A" w14:textId="77777777" w:rsidTr="000F7A2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2C7B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Fire Command Center: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757E5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No, not a high rise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7BCF8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911)</w:t>
            </w:r>
          </w:p>
        </w:tc>
      </w:tr>
      <w:tr w:rsidR="005F0590" w:rsidRPr="00681720" w14:paraId="7D10879C" w14:textId="77777777" w:rsidTr="000F7A2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1E75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Fire Dept Connection: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148D2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Yes, located in a visible location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790DB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912 &amp; 912.2.1)</w:t>
            </w:r>
          </w:p>
        </w:tc>
      </w:tr>
      <w:tr w:rsidR="005F0590" w:rsidRPr="00681720" w14:paraId="209A8CC7" w14:textId="77777777" w:rsidTr="000F7A2A">
        <w:trPr>
          <w:trHeight w:val="33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F733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Key Box: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63F57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 xml:space="preserve">NA </w:t>
            </w:r>
            <w:proofErr w:type="gramStart"/>
            <w:r w:rsidRPr="005F0590">
              <w:rPr>
                <w:rFonts w:ascii="Open Sans" w:hAnsi="Open Sans" w:cs="Open Sans"/>
                <w:color w:val="15A1DA"/>
                <w:szCs w:val="20"/>
              </w:rPr>
              <w:t>-  24</w:t>
            </w:r>
            <w:proofErr w:type="gramEnd"/>
            <w:r w:rsidRPr="005F0590">
              <w:rPr>
                <w:rFonts w:ascii="Open Sans" w:hAnsi="Open Sans" w:cs="Open Sans"/>
                <w:color w:val="15A1DA"/>
                <w:szCs w:val="20"/>
              </w:rPr>
              <w:t>hr facility (Hospital)</w:t>
            </w:r>
          </w:p>
          <w:p w14:paraId="7ECC08FA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Yes – for MOB, if required.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154A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Authority Having Jurisdiction may require</w:t>
            </w:r>
          </w:p>
        </w:tc>
      </w:tr>
    </w:tbl>
    <w:p w14:paraId="7008D47F" w14:textId="77777777" w:rsidR="005F0590" w:rsidRPr="006A1F49" w:rsidRDefault="005F0590" w:rsidP="0045573F">
      <w:pPr>
        <w:spacing w:before="0"/>
        <w:rPr>
          <w:rFonts w:cs="Arial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2"/>
        <w:gridCol w:w="2992"/>
        <w:gridCol w:w="2586"/>
      </w:tblGrid>
      <w:tr w:rsidR="005F0590" w:rsidRPr="00CA2050" w14:paraId="45A294AA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CEDC5" w14:textId="79EE4009" w:rsidR="005F0590" w:rsidRPr="005F0590" w:rsidRDefault="005F0590" w:rsidP="0045573F">
            <w:pPr>
              <w:pStyle w:val="Heading1"/>
              <w:spacing w:before="0"/>
            </w:pPr>
            <w:r w:rsidRPr="000F7A2A">
              <w:rPr>
                <w:color w:val="000000" w:themeColor="text1"/>
              </w:rPr>
              <w:t>MEANS OF EGRESS</w:t>
            </w: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A6C1E" w14:textId="77777777" w:rsidR="005F0590" w:rsidRPr="00CA205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cs="Arial"/>
                <w:iCs/>
                <w:szCs w:val="18"/>
              </w:rPr>
            </w:pPr>
          </w:p>
        </w:tc>
      </w:tr>
      <w:tr w:rsidR="005F0590" w:rsidRPr="005F0590" w14:paraId="78A95E8C" w14:textId="77777777" w:rsidTr="00D0324B">
        <w:trPr>
          <w:trHeight w:val="70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E0877" w14:textId="52DD65A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Corridor Width:</w:t>
            </w:r>
          </w:p>
        </w:tc>
        <w:tc>
          <w:tcPr>
            <w:tcW w:w="2992" w:type="dxa"/>
            <w:tcBorders>
              <w:top w:val="nil"/>
              <w:left w:val="nil"/>
              <w:right w:val="nil"/>
            </w:tcBorders>
            <w:vAlign w:val="bottom"/>
          </w:tcPr>
          <w:p w14:paraId="4607746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96” Hospital (44” adjunct areas)</w:t>
            </w:r>
          </w:p>
          <w:p w14:paraId="27087B1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44” Min in MOB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6F0A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1018.2)</w:t>
            </w:r>
          </w:p>
          <w:p w14:paraId="072A311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(LSC 18.2.3.3 and 18.2.3.4)</w:t>
            </w:r>
          </w:p>
        </w:tc>
      </w:tr>
      <w:tr w:rsidR="005F0590" w:rsidRPr="005F0590" w14:paraId="7B9934BE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D06FD" w14:textId="398588C9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Maximum travel distance to exit: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bottom"/>
          </w:tcPr>
          <w:p w14:paraId="6721E19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200’ Hospital</w:t>
            </w:r>
          </w:p>
          <w:p w14:paraId="19D7405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300’ MOB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CC43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 xml:space="preserve">(IBC Table 1016.2)  </w:t>
            </w:r>
          </w:p>
          <w:p w14:paraId="5791488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LSC 18.2.6.2.2)</w:t>
            </w:r>
          </w:p>
        </w:tc>
      </w:tr>
      <w:tr w:rsidR="005F0590" w:rsidRPr="005F0590" w14:paraId="699F7924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94FF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Max distance to Common Path of Egress: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bottom"/>
          </w:tcPr>
          <w:p w14:paraId="11CD82C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75’ Hospital</w:t>
            </w:r>
          </w:p>
          <w:p w14:paraId="141F1A8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iCs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100’ MOB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48BDA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Table 1014.3)</w:t>
            </w:r>
          </w:p>
        </w:tc>
      </w:tr>
      <w:tr w:rsidR="005F0590" w:rsidRPr="005F0590" w14:paraId="7725CD87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7480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lastRenderedPageBreak/>
              <w:t>Exit Doors – Minimum Width Allowed: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bottom"/>
          </w:tcPr>
          <w:p w14:paraId="1A91ED6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32” Clear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4CAA1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1008.1.1)</w:t>
            </w:r>
          </w:p>
        </w:tc>
      </w:tr>
      <w:tr w:rsidR="005F0590" w:rsidRPr="005F0590" w14:paraId="5B6C745A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AB57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Exit Doors – Maximum Leaf Width Allowed: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bottom"/>
          </w:tcPr>
          <w:p w14:paraId="4D1FA49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48” Nominal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9137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1008.1.1)</w:t>
            </w:r>
          </w:p>
        </w:tc>
      </w:tr>
      <w:tr w:rsidR="005F0590" w:rsidRPr="005F0590" w14:paraId="48E17D58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87C6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Exit Doors – Minimum Height Allowed: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bottom"/>
          </w:tcPr>
          <w:p w14:paraId="4289883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80”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3B3EB5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1008.1.1)</w:t>
            </w:r>
          </w:p>
        </w:tc>
      </w:tr>
      <w:tr w:rsidR="005F0590" w:rsidRPr="005F0590" w14:paraId="12EA64BA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27FC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 xml:space="preserve">                  Exit Doors Panic Hardware – Electrical    Rooms with 1,200 amperes &amp; 6’ or greater size: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bottom"/>
          </w:tcPr>
          <w:p w14:paraId="483C8A7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Yes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9A137C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1008.1.10)</w:t>
            </w:r>
          </w:p>
        </w:tc>
      </w:tr>
      <w:tr w:rsidR="005F0590" w:rsidRPr="005F0590" w14:paraId="79C7AB5F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6DD8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Exit Arrangement: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bottom"/>
          </w:tcPr>
          <w:p w14:paraId="7F0D7974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1/2 diagonal, 1/3 with exception 2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F9492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1015.2)</w:t>
            </w:r>
          </w:p>
          <w:p w14:paraId="7079553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(LSC 18.2.4)</w:t>
            </w:r>
          </w:p>
        </w:tc>
      </w:tr>
      <w:tr w:rsidR="005F0590" w:rsidRPr="005F0590" w14:paraId="18C3BE4D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64DED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Egress through intervening spaces: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bottom"/>
          </w:tcPr>
          <w:p w14:paraId="18E86507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 xml:space="preserve">Only if accessory space to one another and a discernable path to an exit is provided.    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786E9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 xml:space="preserve">(IBC 1014.2) </w:t>
            </w:r>
          </w:p>
          <w:p w14:paraId="7538A2A0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(LSC 18.2.5.8)</w:t>
            </w:r>
          </w:p>
        </w:tc>
      </w:tr>
      <w:tr w:rsidR="005F0590" w:rsidRPr="005F0590" w14:paraId="61AC99F1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85249" w14:textId="54902919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jc w:val="both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Exit corridors - dead end corridors allowed: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bottom"/>
          </w:tcPr>
          <w:p w14:paraId="45298AD8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20’ Hospital</w:t>
            </w:r>
          </w:p>
          <w:p w14:paraId="65C04F84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50’ MOB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B76CF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(IBC 1018.4)</w:t>
            </w:r>
          </w:p>
          <w:p w14:paraId="20DD37A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color w:val="15A1DA"/>
                <w:szCs w:val="20"/>
              </w:rPr>
              <w:t>(LSC 18.2.5.10)</w:t>
            </w:r>
          </w:p>
        </w:tc>
      </w:tr>
      <w:tr w:rsidR="005F0590" w:rsidRPr="005F0590" w14:paraId="7A6BF538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AAD0F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Exit Discharge: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bottom"/>
          </w:tcPr>
          <w:p w14:paraId="09EDF19E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50% max can be through areas on level of discharge, exception 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5AF3B9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iCs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 xml:space="preserve">(IBC 1027.1) </w:t>
            </w:r>
          </w:p>
          <w:p w14:paraId="2444B1F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>(LSC 7.7)</w:t>
            </w:r>
          </w:p>
        </w:tc>
      </w:tr>
      <w:tr w:rsidR="005F0590" w:rsidRPr="005F0590" w14:paraId="5039A2F3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B50CB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Emergency Escape (via operable window):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bottom"/>
          </w:tcPr>
          <w:p w14:paraId="39474181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 xml:space="preserve">Not required 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8CFD2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iCs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>(IBC 1029.1)</w:t>
            </w:r>
          </w:p>
        </w:tc>
      </w:tr>
      <w:tr w:rsidR="005F0590" w:rsidRPr="005F0590" w14:paraId="536B4CB0" w14:textId="77777777" w:rsidTr="00D0324B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214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szCs w:val="20"/>
              </w:rPr>
            </w:pPr>
            <w:r w:rsidRPr="005F0590">
              <w:rPr>
                <w:rFonts w:ascii="Open Sans" w:hAnsi="Open Sans" w:cs="Open Sans"/>
                <w:szCs w:val="20"/>
              </w:rPr>
              <w:t>Subdivision of Building Spaces (Smoke Barriers):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61F124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color w:val="15A1DA"/>
                <w:szCs w:val="20"/>
              </w:rPr>
              <w:t>Hospital - Required to divide every story into at least two smoke compartments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6CB7D6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iCs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>(IBC 407.5)</w:t>
            </w:r>
          </w:p>
          <w:p w14:paraId="61D56AB3" w14:textId="77777777" w:rsidR="005F0590" w:rsidRPr="005F0590" w:rsidRDefault="005F0590" w:rsidP="0045573F">
            <w:pPr>
              <w:tabs>
                <w:tab w:val="left" w:pos="2805"/>
                <w:tab w:val="left" w:pos="4862"/>
                <w:tab w:val="left" w:pos="7667"/>
                <w:tab w:val="left" w:pos="8041"/>
                <w:tab w:val="left" w:pos="8228"/>
                <w:tab w:val="left" w:pos="11220"/>
              </w:tabs>
              <w:spacing w:before="0"/>
              <w:rPr>
                <w:rFonts w:ascii="Open Sans" w:hAnsi="Open Sans" w:cs="Open Sans"/>
                <w:i/>
                <w:iCs/>
                <w:color w:val="15A1DA"/>
                <w:szCs w:val="20"/>
              </w:rPr>
            </w:pPr>
            <w:r w:rsidRPr="005F0590">
              <w:rPr>
                <w:rFonts w:ascii="Open Sans" w:hAnsi="Open Sans" w:cs="Open Sans"/>
                <w:i/>
                <w:iCs/>
                <w:color w:val="15A1DA"/>
                <w:szCs w:val="20"/>
              </w:rPr>
              <w:t>(LSC 18.3.7)</w:t>
            </w:r>
          </w:p>
        </w:tc>
      </w:tr>
    </w:tbl>
    <w:p w14:paraId="5669D8D9" w14:textId="77777777" w:rsidR="005F0590" w:rsidRPr="005F0590" w:rsidRDefault="005F0590" w:rsidP="0045573F">
      <w:pPr>
        <w:spacing w:before="0"/>
        <w:rPr>
          <w:rFonts w:ascii="Open Sans" w:hAnsi="Open Sans" w:cs="Open Sans"/>
        </w:rPr>
      </w:pPr>
    </w:p>
    <w:p w14:paraId="6CE38A85" w14:textId="760B318E" w:rsidR="00446DF2" w:rsidRPr="006E3E7D" w:rsidRDefault="00446DF2" w:rsidP="0045573F">
      <w:pPr>
        <w:spacing w:before="0"/>
      </w:pPr>
    </w:p>
    <w:sectPr w:rsidR="00446DF2" w:rsidRPr="006E3E7D" w:rsidSect="00F37EF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F358" w14:textId="77777777" w:rsidR="00FB1FFF" w:rsidRDefault="00FB1FFF" w:rsidP="00446DF2">
      <w:r>
        <w:separator/>
      </w:r>
    </w:p>
  </w:endnote>
  <w:endnote w:type="continuationSeparator" w:id="0">
    <w:p w14:paraId="19B17C4A" w14:textId="77777777" w:rsidR="00FB1FFF" w:rsidRDefault="00FB1FFF" w:rsidP="00446DF2">
      <w:r>
        <w:continuationSeparator/>
      </w:r>
    </w:p>
  </w:endnote>
  <w:endnote w:type="continuationNotice" w:id="1">
    <w:p w14:paraId="36225C41" w14:textId="77777777" w:rsidR="00FB1FFF" w:rsidRDefault="00FB1FFF" w:rsidP="00446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46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C0FCFC" w14:textId="76DCDB6F" w:rsidR="000F7A2A" w:rsidRDefault="000F7A2A" w:rsidP="004C1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32E6F4" w14:textId="55AC413B" w:rsidR="00B22353" w:rsidRDefault="00B22353" w:rsidP="00446DF2">
    <w:pPr>
      <w:pStyle w:val="Footer"/>
      <w:rPr>
        <w:rStyle w:val="PageNumber"/>
      </w:rPr>
    </w:pPr>
  </w:p>
  <w:p w14:paraId="3DD2FD6D" w14:textId="77777777" w:rsidR="00B22353" w:rsidRDefault="00B22353" w:rsidP="00446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DB63" w14:textId="185C933C" w:rsidR="00263E67" w:rsidRPr="006A1706" w:rsidRDefault="006A1706" w:rsidP="006A1706">
    <w:pPr>
      <w:pStyle w:val="Footer"/>
    </w:pPr>
    <w:sdt>
      <w:sdtPr>
        <w:id w:val="-12526582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Grace Design Studios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br/>
          <w:t>Project Name | Location</w:t>
        </w:r>
      </w:sdtContent>
    </w:sdt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457A" w14:textId="48E68709" w:rsidR="00B81AF9" w:rsidRDefault="006A1706" w:rsidP="006A1706">
    <w:pPr>
      <w:pStyle w:val="Footer"/>
      <w:spacing w:before="120" w:after="120"/>
      <w:rPr>
        <w:noProof/>
      </w:rPr>
    </w:pPr>
    <w:sdt>
      <w:sdtPr>
        <w:id w:val="-18631307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Grace Design Studios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br/>
          <w:t>Project Name | Location</w:t>
        </w:r>
      </w:sdtContent>
    </w:sdt>
    <w:r w:rsidR="00263E67">
      <w:tab/>
    </w:r>
    <w:r w:rsidR="00263E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3C28" w14:textId="77777777" w:rsidR="00FB1FFF" w:rsidRDefault="00FB1FFF" w:rsidP="00446DF2">
      <w:r>
        <w:separator/>
      </w:r>
    </w:p>
  </w:footnote>
  <w:footnote w:type="continuationSeparator" w:id="0">
    <w:p w14:paraId="36543350" w14:textId="77777777" w:rsidR="00FB1FFF" w:rsidRDefault="00FB1FFF" w:rsidP="00446DF2">
      <w:r>
        <w:continuationSeparator/>
      </w:r>
    </w:p>
  </w:footnote>
  <w:footnote w:type="continuationNotice" w:id="1">
    <w:p w14:paraId="7FA2B0C5" w14:textId="77777777" w:rsidR="00FB1FFF" w:rsidRDefault="00FB1FFF" w:rsidP="00446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105B" w14:textId="77777777" w:rsidR="007849D4" w:rsidRDefault="007849D4" w:rsidP="00446DF2">
    <w:pPr>
      <w:pStyle w:val="Header"/>
    </w:pPr>
  </w:p>
  <w:p w14:paraId="6DDF6326" w14:textId="77777777" w:rsidR="00446DF2" w:rsidRDefault="00446DF2" w:rsidP="00446DF2">
    <w:pPr>
      <w:pStyle w:val="Header"/>
      <w:rPr>
        <w:noProof/>
      </w:rPr>
    </w:pPr>
  </w:p>
  <w:p w14:paraId="2DEB9ED1" w14:textId="77777777" w:rsidR="00263E67" w:rsidRDefault="00263E67" w:rsidP="00446DF2">
    <w:pPr>
      <w:pStyle w:val="Header"/>
    </w:pPr>
  </w:p>
  <w:p w14:paraId="43389510" w14:textId="77777777" w:rsidR="00446DF2" w:rsidRDefault="00446DF2" w:rsidP="00446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92B3" w14:textId="2461ADB0" w:rsidR="004F6D2E" w:rsidRDefault="004F6D2E" w:rsidP="00446DF2">
    <w:pPr>
      <w:pStyle w:val="Header"/>
    </w:pPr>
  </w:p>
  <w:p w14:paraId="7691C673" w14:textId="77777777" w:rsidR="001E10B0" w:rsidRDefault="001E10B0" w:rsidP="00446DF2">
    <w:pPr>
      <w:pStyle w:val="Header"/>
    </w:pPr>
  </w:p>
  <w:p w14:paraId="5177196B" w14:textId="3A7712FE" w:rsidR="00B81AF9" w:rsidRDefault="006A1706" w:rsidP="00446DF2">
    <w:pPr>
      <w:pStyle w:val="Header"/>
    </w:pPr>
    <w:r w:rsidRPr="00AE6C9C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05206714" wp14:editId="471F24B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36700" cy="391160"/>
          <wp:effectExtent l="0" t="0" r="0" b="2540"/>
          <wp:wrapNone/>
          <wp:docPr id="472788579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88579" name="Picture 1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171096" w14:textId="77777777" w:rsidR="00DA3F93" w:rsidRDefault="00DA3F93" w:rsidP="00446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3A17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928D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342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9A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18AF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2A0C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604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E8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321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EF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437864"/>
    <w:multiLevelType w:val="hybridMultilevel"/>
    <w:tmpl w:val="4C409EC2"/>
    <w:lvl w:ilvl="0" w:tplc="1BA4BF72">
      <w:start w:val="1"/>
      <w:numFmt w:val="bullet"/>
      <w:pStyle w:val="ListBullet2"/>
      <w:lvlText w:val="–"/>
      <w:lvlJc w:val="left"/>
      <w:pPr>
        <w:ind w:left="576" w:hanging="288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022A"/>
    <w:multiLevelType w:val="hybridMultilevel"/>
    <w:tmpl w:val="DCC881EA"/>
    <w:lvl w:ilvl="0" w:tplc="53A40D8E">
      <w:start w:val="1"/>
      <w:numFmt w:val="bullet"/>
      <w:pStyle w:val="ListBullet"/>
      <w:lvlText w:val=""/>
      <w:lvlJc w:val="left"/>
      <w:pPr>
        <w:ind w:left="918" w:hanging="288"/>
      </w:pPr>
      <w:rPr>
        <w:rFonts w:ascii="Symbol" w:hAnsi="Symbol" w:hint="default"/>
      </w:rPr>
    </w:lvl>
    <w:lvl w:ilvl="1" w:tplc="A3A6A3A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C644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347DD"/>
    <w:multiLevelType w:val="hybridMultilevel"/>
    <w:tmpl w:val="4F34F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139359">
    <w:abstractNumId w:val="0"/>
  </w:num>
  <w:num w:numId="2" w16cid:durableId="127086522">
    <w:abstractNumId w:val="1"/>
  </w:num>
  <w:num w:numId="3" w16cid:durableId="1281374827">
    <w:abstractNumId w:val="2"/>
  </w:num>
  <w:num w:numId="4" w16cid:durableId="234709647">
    <w:abstractNumId w:val="3"/>
  </w:num>
  <w:num w:numId="5" w16cid:durableId="2013950254">
    <w:abstractNumId w:val="8"/>
  </w:num>
  <w:num w:numId="6" w16cid:durableId="805706793">
    <w:abstractNumId w:val="4"/>
  </w:num>
  <w:num w:numId="7" w16cid:durableId="96028983">
    <w:abstractNumId w:val="5"/>
  </w:num>
  <w:num w:numId="8" w16cid:durableId="1666278905">
    <w:abstractNumId w:val="6"/>
  </w:num>
  <w:num w:numId="9" w16cid:durableId="1858613276">
    <w:abstractNumId w:val="7"/>
  </w:num>
  <w:num w:numId="10" w16cid:durableId="6448196">
    <w:abstractNumId w:val="9"/>
  </w:num>
  <w:num w:numId="11" w16cid:durableId="1351104928">
    <w:abstractNumId w:val="12"/>
  </w:num>
  <w:num w:numId="12" w16cid:durableId="1400060447">
    <w:abstractNumId w:val="11"/>
  </w:num>
  <w:num w:numId="13" w16cid:durableId="136999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76"/>
    <w:rsid w:val="000022B8"/>
    <w:rsid w:val="00022339"/>
    <w:rsid w:val="00023C3D"/>
    <w:rsid w:val="00036DDE"/>
    <w:rsid w:val="00066050"/>
    <w:rsid w:val="0006645C"/>
    <w:rsid w:val="00066D2D"/>
    <w:rsid w:val="00071ABA"/>
    <w:rsid w:val="00082C99"/>
    <w:rsid w:val="000834DD"/>
    <w:rsid w:val="000843B4"/>
    <w:rsid w:val="000A37B3"/>
    <w:rsid w:val="000A3D1E"/>
    <w:rsid w:val="000B089C"/>
    <w:rsid w:val="000B1C4B"/>
    <w:rsid w:val="000C60BC"/>
    <w:rsid w:val="000C79CE"/>
    <w:rsid w:val="000E03F1"/>
    <w:rsid w:val="000E30DF"/>
    <w:rsid w:val="000F7A2A"/>
    <w:rsid w:val="0011157F"/>
    <w:rsid w:val="00113532"/>
    <w:rsid w:val="00115A42"/>
    <w:rsid w:val="00121D1E"/>
    <w:rsid w:val="00124ADC"/>
    <w:rsid w:val="00127B79"/>
    <w:rsid w:val="00156BF1"/>
    <w:rsid w:val="001637F2"/>
    <w:rsid w:val="00165A18"/>
    <w:rsid w:val="001813B5"/>
    <w:rsid w:val="00185F13"/>
    <w:rsid w:val="001B05D4"/>
    <w:rsid w:val="001B0883"/>
    <w:rsid w:val="001C1F2D"/>
    <w:rsid w:val="001C3A5E"/>
    <w:rsid w:val="001D39F7"/>
    <w:rsid w:val="001D5034"/>
    <w:rsid w:val="001E0BED"/>
    <w:rsid w:val="001E10B0"/>
    <w:rsid w:val="001E4D88"/>
    <w:rsid w:val="00211E12"/>
    <w:rsid w:val="00213AB3"/>
    <w:rsid w:val="002151E0"/>
    <w:rsid w:val="00225F5A"/>
    <w:rsid w:val="002470B0"/>
    <w:rsid w:val="00263E67"/>
    <w:rsid w:val="00294F53"/>
    <w:rsid w:val="00295E98"/>
    <w:rsid w:val="002A603F"/>
    <w:rsid w:val="002A76D8"/>
    <w:rsid w:val="002B30C5"/>
    <w:rsid w:val="002B7AEF"/>
    <w:rsid w:val="002C4941"/>
    <w:rsid w:val="002D1611"/>
    <w:rsid w:val="002D300E"/>
    <w:rsid w:val="002D6581"/>
    <w:rsid w:val="002D7A4B"/>
    <w:rsid w:val="002E78EB"/>
    <w:rsid w:val="002F1060"/>
    <w:rsid w:val="003009C7"/>
    <w:rsid w:val="00303F67"/>
    <w:rsid w:val="003042C5"/>
    <w:rsid w:val="00315356"/>
    <w:rsid w:val="003359A1"/>
    <w:rsid w:val="003450E5"/>
    <w:rsid w:val="00351B07"/>
    <w:rsid w:val="00363CB9"/>
    <w:rsid w:val="003701F7"/>
    <w:rsid w:val="00374E38"/>
    <w:rsid w:val="00381A7A"/>
    <w:rsid w:val="00384EAD"/>
    <w:rsid w:val="00391121"/>
    <w:rsid w:val="00391924"/>
    <w:rsid w:val="00394576"/>
    <w:rsid w:val="003A2031"/>
    <w:rsid w:val="003A5C30"/>
    <w:rsid w:val="003C04DF"/>
    <w:rsid w:val="003C7EF0"/>
    <w:rsid w:val="003D0D09"/>
    <w:rsid w:val="003D491E"/>
    <w:rsid w:val="003E0760"/>
    <w:rsid w:val="003F799F"/>
    <w:rsid w:val="00406F3C"/>
    <w:rsid w:val="0041223D"/>
    <w:rsid w:val="00424931"/>
    <w:rsid w:val="00425FFC"/>
    <w:rsid w:val="00436B0E"/>
    <w:rsid w:val="00446DF2"/>
    <w:rsid w:val="004509DA"/>
    <w:rsid w:val="0045573F"/>
    <w:rsid w:val="00476BC4"/>
    <w:rsid w:val="00480366"/>
    <w:rsid w:val="00493280"/>
    <w:rsid w:val="004948AA"/>
    <w:rsid w:val="004968D1"/>
    <w:rsid w:val="004A7404"/>
    <w:rsid w:val="004B20C0"/>
    <w:rsid w:val="004B2576"/>
    <w:rsid w:val="004B2FD6"/>
    <w:rsid w:val="004D0AB5"/>
    <w:rsid w:val="004D3BEE"/>
    <w:rsid w:val="004D7EBC"/>
    <w:rsid w:val="004F5599"/>
    <w:rsid w:val="004F6D2E"/>
    <w:rsid w:val="00511CC6"/>
    <w:rsid w:val="005376D0"/>
    <w:rsid w:val="00547B57"/>
    <w:rsid w:val="00560B01"/>
    <w:rsid w:val="00561698"/>
    <w:rsid w:val="00563D69"/>
    <w:rsid w:val="00565707"/>
    <w:rsid w:val="005971C8"/>
    <w:rsid w:val="005976D9"/>
    <w:rsid w:val="005B0A08"/>
    <w:rsid w:val="005C6835"/>
    <w:rsid w:val="005F0590"/>
    <w:rsid w:val="005F6D86"/>
    <w:rsid w:val="006002FD"/>
    <w:rsid w:val="00632CB9"/>
    <w:rsid w:val="00640B66"/>
    <w:rsid w:val="0064590C"/>
    <w:rsid w:val="00652F0B"/>
    <w:rsid w:val="00655175"/>
    <w:rsid w:val="006555A8"/>
    <w:rsid w:val="00655F3D"/>
    <w:rsid w:val="00656384"/>
    <w:rsid w:val="00683215"/>
    <w:rsid w:val="00686846"/>
    <w:rsid w:val="006918C7"/>
    <w:rsid w:val="006937B4"/>
    <w:rsid w:val="00695EBD"/>
    <w:rsid w:val="006A002B"/>
    <w:rsid w:val="006A1706"/>
    <w:rsid w:val="006A3020"/>
    <w:rsid w:val="006A43FE"/>
    <w:rsid w:val="006A4EAD"/>
    <w:rsid w:val="006A5E5B"/>
    <w:rsid w:val="006A7C79"/>
    <w:rsid w:val="006D56F0"/>
    <w:rsid w:val="006E3E7D"/>
    <w:rsid w:val="006E4A26"/>
    <w:rsid w:val="006E4BD8"/>
    <w:rsid w:val="007014C4"/>
    <w:rsid w:val="00701D01"/>
    <w:rsid w:val="007031F9"/>
    <w:rsid w:val="00704B8B"/>
    <w:rsid w:val="00747990"/>
    <w:rsid w:val="00754083"/>
    <w:rsid w:val="007614F5"/>
    <w:rsid w:val="00762DB7"/>
    <w:rsid w:val="00775E16"/>
    <w:rsid w:val="007849D4"/>
    <w:rsid w:val="007918D9"/>
    <w:rsid w:val="007A4945"/>
    <w:rsid w:val="007A7084"/>
    <w:rsid w:val="007B3068"/>
    <w:rsid w:val="007B4A2F"/>
    <w:rsid w:val="007B4ED7"/>
    <w:rsid w:val="007B57AA"/>
    <w:rsid w:val="007B7AAB"/>
    <w:rsid w:val="007C374B"/>
    <w:rsid w:val="007E3B88"/>
    <w:rsid w:val="007E5076"/>
    <w:rsid w:val="007F47A8"/>
    <w:rsid w:val="00805781"/>
    <w:rsid w:val="008272DD"/>
    <w:rsid w:val="008368B2"/>
    <w:rsid w:val="0084092A"/>
    <w:rsid w:val="00841BE5"/>
    <w:rsid w:val="008649BB"/>
    <w:rsid w:val="00864E11"/>
    <w:rsid w:val="00877CFB"/>
    <w:rsid w:val="00880B94"/>
    <w:rsid w:val="00885411"/>
    <w:rsid w:val="00886DEF"/>
    <w:rsid w:val="00890082"/>
    <w:rsid w:val="008A073D"/>
    <w:rsid w:val="008A0A32"/>
    <w:rsid w:val="008B1526"/>
    <w:rsid w:val="008B29FB"/>
    <w:rsid w:val="008C32B3"/>
    <w:rsid w:val="008E0EB3"/>
    <w:rsid w:val="0090536F"/>
    <w:rsid w:val="00937342"/>
    <w:rsid w:val="009477B7"/>
    <w:rsid w:val="00961CA7"/>
    <w:rsid w:val="00965BB5"/>
    <w:rsid w:val="009754C6"/>
    <w:rsid w:val="0097563E"/>
    <w:rsid w:val="0099625C"/>
    <w:rsid w:val="009A7258"/>
    <w:rsid w:val="009B4CB4"/>
    <w:rsid w:val="009C7081"/>
    <w:rsid w:val="009D1961"/>
    <w:rsid w:val="009D3080"/>
    <w:rsid w:val="009E29D4"/>
    <w:rsid w:val="009E7B22"/>
    <w:rsid w:val="009F5443"/>
    <w:rsid w:val="009F79FD"/>
    <w:rsid w:val="00A04F42"/>
    <w:rsid w:val="00A17145"/>
    <w:rsid w:val="00A42FFB"/>
    <w:rsid w:val="00A438C5"/>
    <w:rsid w:val="00A45F9B"/>
    <w:rsid w:val="00A52015"/>
    <w:rsid w:val="00A524CA"/>
    <w:rsid w:val="00A655D1"/>
    <w:rsid w:val="00A67BDB"/>
    <w:rsid w:val="00A83703"/>
    <w:rsid w:val="00A87F41"/>
    <w:rsid w:val="00A96036"/>
    <w:rsid w:val="00A96F8B"/>
    <w:rsid w:val="00AA2854"/>
    <w:rsid w:val="00AA3FBF"/>
    <w:rsid w:val="00AB2496"/>
    <w:rsid w:val="00AC6D34"/>
    <w:rsid w:val="00AC7742"/>
    <w:rsid w:val="00AD0E1F"/>
    <w:rsid w:val="00AD5F7A"/>
    <w:rsid w:val="00AD7CDA"/>
    <w:rsid w:val="00B05F64"/>
    <w:rsid w:val="00B105DE"/>
    <w:rsid w:val="00B17B51"/>
    <w:rsid w:val="00B22353"/>
    <w:rsid w:val="00B229D2"/>
    <w:rsid w:val="00B33631"/>
    <w:rsid w:val="00B35177"/>
    <w:rsid w:val="00B447BC"/>
    <w:rsid w:val="00B62281"/>
    <w:rsid w:val="00B64C44"/>
    <w:rsid w:val="00B66558"/>
    <w:rsid w:val="00B72443"/>
    <w:rsid w:val="00B81AF9"/>
    <w:rsid w:val="00B826A7"/>
    <w:rsid w:val="00B8722C"/>
    <w:rsid w:val="00B95AE2"/>
    <w:rsid w:val="00BA700E"/>
    <w:rsid w:val="00BB6803"/>
    <w:rsid w:val="00BB7581"/>
    <w:rsid w:val="00BD3B6F"/>
    <w:rsid w:val="00BD6F1E"/>
    <w:rsid w:val="00BE613C"/>
    <w:rsid w:val="00BF1B3B"/>
    <w:rsid w:val="00BF7114"/>
    <w:rsid w:val="00C54904"/>
    <w:rsid w:val="00C57376"/>
    <w:rsid w:val="00C65964"/>
    <w:rsid w:val="00C84952"/>
    <w:rsid w:val="00CB4A60"/>
    <w:rsid w:val="00CC06C6"/>
    <w:rsid w:val="00CC25B5"/>
    <w:rsid w:val="00CC687F"/>
    <w:rsid w:val="00CD2A6C"/>
    <w:rsid w:val="00CD4604"/>
    <w:rsid w:val="00CD666F"/>
    <w:rsid w:val="00CE7E6C"/>
    <w:rsid w:val="00CF5315"/>
    <w:rsid w:val="00D021E1"/>
    <w:rsid w:val="00D1176C"/>
    <w:rsid w:val="00D2304F"/>
    <w:rsid w:val="00D37ED3"/>
    <w:rsid w:val="00D42A18"/>
    <w:rsid w:val="00D567AB"/>
    <w:rsid w:val="00D6431C"/>
    <w:rsid w:val="00D7218D"/>
    <w:rsid w:val="00D73DAC"/>
    <w:rsid w:val="00D815EE"/>
    <w:rsid w:val="00D851E3"/>
    <w:rsid w:val="00D90FD0"/>
    <w:rsid w:val="00DA3F93"/>
    <w:rsid w:val="00DB1E04"/>
    <w:rsid w:val="00DE55A4"/>
    <w:rsid w:val="00DF534E"/>
    <w:rsid w:val="00E035DE"/>
    <w:rsid w:val="00E1467B"/>
    <w:rsid w:val="00E26C4A"/>
    <w:rsid w:val="00E33862"/>
    <w:rsid w:val="00E44991"/>
    <w:rsid w:val="00E505D8"/>
    <w:rsid w:val="00E56A27"/>
    <w:rsid w:val="00E5747A"/>
    <w:rsid w:val="00E6347D"/>
    <w:rsid w:val="00E6787F"/>
    <w:rsid w:val="00E71EAD"/>
    <w:rsid w:val="00E7236D"/>
    <w:rsid w:val="00E74BA6"/>
    <w:rsid w:val="00E92E5C"/>
    <w:rsid w:val="00EC0157"/>
    <w:rsid w:val="00EC38BE"/>
    <w:rsid w:val="00EC780E"/>
    <w:rsid w:val="00ED0A84"/>
    <w:rsid w:val="00EE26EA"/>
    <w:rsid w:val="00EF6616"/>
    <w:rsid w:val="00F1363F"/>
    <w:rsid w:val="00F2396B"/>
    <w:rsid w:val="00F27EF6"/>
    <w:rsid w:val="00F35173"/>
    <w:rsid w:val="00F37EF2"/>
    <w:rsid w:val="00F44DF6"/>
    <w:rsid w:val="00F46121"/>
    <w:rsid w:val="00F622E9"/>
    <w:rsid w:val="00F72BA0"/>
    <w:rsid w:val="00F80525"/>
    <w:rsid w:val="00F81C49"/>
    <w:rsid w:val="00F963B1"/>
    <w:rsid w:val="00FA1E69"/>
    <w:rsid w:val="00FA67A7"/>
    <w:rsid w:val="00FB0602"/>
    <w:rsid w:val="00FB1FFF"/>
    <w:rsid w:val="00FB6688"/>
    <w:rsid w:val="00FC005B"/>
    <w:rsid w:val="00FF2216"/>
    <w:rsid w:val="04652ECA"/>
    <w:rsid w:val="06F5D43D"/>
    <w:rsid w:val="1949C372"/>
    <w:rsid w:val="1CF34B6A"/>
    <w:rsid w:val="24639D0B"/>
    <w:rsid w:val="24B8FB09"/>
    <w:rsid w:val="303F44F6"/>
    <w:rsid w:val="412F0F55"/>
    <w:rsid w:val="4DCB1BF6"/>
    <w:rsid w:val="4E2E0970"/>
    <w:rsid w:val="5130CF24"/>
    <w:rsid w:val="53D2554A"/>
    <w:rsid w:val="5A650DC3"/>
    <w:rsid w:val="5F67CD5A"/>
    <w:rsid w:val="5F9530A1"/>
    <w:rsid w:val="72D157D9"/>
    <w:rsid w:val="776EF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837FC"/>
  <w15:chartTrackingRefBased/>
  <w15:docId w15:val="{47E0BC2F-CA98-4A47-BA92-DB52E724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Body)"/>
    <w:qFormat/>
    <w:rsid w:val="00446DF2"/>
    <w:pPr>
      <w:spacing w:before="200" w:after="20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576"/>
    <w:pPr>
      <w:keepNext/>
      <w:keepLines/>
      <w:spacing w:before="480"/>
      <w:outlineLvl w:val="0"/>
    </w:pPr>
    <w:rPr>
      <w:rFonts w:asciiTheme="majorHAnsi" w:eastAsiaTheme="majorEastAsia" w:hAnsiTheme="majorHAnsi" w:cs="Times New Roman (Headings CS)"/>
      <w:b/>
      <w:caps/>
      <w:color w:val="082651" w:themeColor="text2"/>
      <w:spacing w:val="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576"/>
    <w:pPr>
      <w:keepNext/>
      <w:keepLines/>
      <w:spacing w:before="240"/>
      <w:outlineLvl w:val="1"/>
    </w:pPr>
    <w:rPr>
      <w:rFonts w:asciiTheme="majorHAnsi" w:eastAsiaTheme="majorEastAsia" w:hAnsiTheme="majorHAnsi" w:cs="Times New Roman (Headings CS)"/>
      <w:b/>
      <w:caps/>
      <w:color w:val="00B0F0"/>
      <w:spacing w:val="2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A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082651" w:themeColor="text2"/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576"/>
    <w:pPr>
      <w:keepNext/>
      <w:keepLines/>
      <w:spacing w:before="240" w:afterAutospacing="1"/>
      <w:outlineLvl w:val="3"/>
    </w:pPr>
    <w:rPr>
      <w:rFonts w:asciiTheme="majorHAnsi" w:eastAsiaTheme="majorEastAsia" w:hAnsiTheme="majorHAnsi" w:cstheme="majorBidi"/>
      <w:b/>
      <w:iCs/>
      <w:color w:val="00B0F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2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0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Normal"/>
    <w:uiPriority w:val="99"/>
    <w:rsid w:val="00124ADC"/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B22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353"/>
  </w:style>
  <w:style w:type="paragraph" w:styleId="Footer">
    <w:name w:val="footer"/>
    <w:basedOn w:val="Normal"/>
    <w:link w:val="FooterChar"/>
    <w:uiPriority w:val="99"/>
    <w:unhideWhenUsed/>
    <w:rsid w:val="00683215"/>
    <w:pPr>
      <w:tabs>
        <w:tab w:val="center" w:pos="4680"/>
        <w:tab w:val="right" w:pos="9360"/>
      </w:tabs>
    </w:pPr>
    <w:rPr>
      <w:rFonts w:cs="Times New Roman (Body CS)"/>
      <w:color w:val="000000" w:themeColor="text1"/>
      <w:spacing w:val="16"/>
    </w:rPr>
  </w:style>
  <w:style w:type="character" w:customStyle="1" w:styleId="FooterChar">
    <w:name w:val="Footer Char"/>
    <w:basedOn w:val="DefaultParagraphFont"/>
    <w:link w:val="Footer"/>
    <w:uiPriority w:val="99"/>
    <w:rsid w:val="00683215"/>
    <w:rPr>
      <w:rFonts w:cs="Times New Roman (Body CS)"/>
      <w:color w:val="000000" w:themeColor="text1"/>
      <w:spacing w:val="16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B22353"/>
  </w:style>
  <w:style w:type="paragraph" w:styleId="NoSpacing">
    <w:name w:val="No Spacing"/>
    <w:uiPriority w:val="1"/>
    <w:qFormat/>
    <w:rsid w:val="00B22353"/>
    <w:rPr>
      <w:rFonts w:eastAsiaTheme="minorEastAsia"/>
      <w:sz w:val="22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B05D4"/>
    <w:pPr>
      <w:spacing w:after="160"/>
      <w:contextualSpacing/>
    </w:pPr>
    <w:rPr>
      <w:rFonts w:asciiTheme="majorHAnsi" w:eastAsiaTheme="majorEastAsia" w:hAnsiTheme="majorHAnsi" w:cstheme="majorBidi"/>
      <w:b/>
      <w:color w:val="082651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5D4"/>
    <w:rPr>
      <w:rFonts w:asciiTheme="majorHAnsi" w:eastAsiaTheme="majorEastAsia" w:hAnsiTheme="majorHAnsi" w:cstheme="majorBidi"/>
      <w:b/>
      <w:color w:val="082651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576"/>
    <w:pPr>
      <w:numPr>
        <w:ilvl w:val="1"/>
      </w:numPr>
      <w:spacing w:before="240" w:afterAutospacing="1"/>
    </w:pPr>
    <w:rPr>
      <w:rFonts w:eastAsiaTheme="minorEastAsia"/>
      <w:color w:val="00B0F0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576"/>
    <w:rPr>
      <w:rFonts w:eastAsiaTheme="minorEastAsia"/>
      <w:color w:val="00B0F0"/>
      <w:spacing w:val="15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94576"/>
    <w:rPr>
      <w:rFonts w:asciiTheme="majorHAnsi" w:eastAsiaTheme="majorEastAsia" w:hAnsiTheme="majorHAnsi" w:cs="Times New Roman (Headings CS)"/>
      <w:b/>
      <w:caps/>
      <w:color w:val="082651" w:themeColor="text2"/>
      <w:spacing w:val="1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4576"/>
    <w:rPr>
      <w:rFonts w:asciiTheme="majorHAnsi" w:eastAsiaTheme="majorEastAsia" w:hAnsiTheme="majorHAnsi" w:cs="Times New Roman (Headings CS)"/>
      <w:b/>
      <w:caps/>
      <w:color w:val="00B0F0"/>
      <w:spacing w:val="20"/>
      <w:szCs w:val="26"/>
    </w:rPr>
  </w:style>
  <w:style w:type="paragraph" w:styleId="ListParagraph">
    <w:name w:val="List Paragraph"/>
    <w:basedOn w:val="ListBullet"/>
    <w:uiPriority w:val="34"/>
    <w:qFormat/>
    <w:rsid w:val="007F47A8"/>
    <w:pPr>
      <w:spacing w:after="60"/>
    </w:pPr>
  </w:style>
  <w:style w:type="paragraph" w:styleId="ListBullet2">
    <w:name w:val="List Bullet 2"/>
    <w:basedOn w:val="ListBullet"/>
    <w:uiPriority w:val="99"/>
    <w:unhideWhenUsed/>
    <w:qFormat/>
    <w:rsid w:val="007F47A8"/>
    <w:pPr>
      <w:numPr>
        <w:numId w:val="13"/>
      </w:numPr>
      <w:spacing w:after="60"/>
    </w:pPr>
  </w:style>
  <w:style w:type="paragraph" w:styleId="ListBullet">
    <w:name w:val="List Bullet"/>
    <w:basedOn w:val="Normal"/>
    <w:uiPriority w:val="99"/>
    <w:unhideWhenUsed/>
    <w:rsid w:val="00F1363F"/>
    <w:pPr>
      <w:numPr>
        <w:numId w:val="12"/>
      </w:numPr>
      <w:spacing w:before="0"/>
      <w:ind w:left="450"/>
    </w:pPr>
    <w:rPr>
      <w:rFonts w:ascii="Arial" w:eastAsiaTheme="minorEastAsia" w:hAnsi="Arial" w:cs="Times New Roman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rsid w:val="001B05D4"/>
    <w:pPr>
      <w:spacing w:before="240" w:afterAutospacing="1"/>
    </w:pPr>
    <w:rPr>
      <w:rFonts w:cs="Times New Roman (Body CS)"/>
      <w:caps/>
      <w:color w:val="AEAAAA" w:themeColor="background2" w:themeShade="BF"/>
      <w:spacing w:val="20"/>
    </w:rPr>
  </w:style>
  <w:style w:type="character" w:customStyle="1" w:styleId="DateChar">
    <w:name w:val="Date Char"/>
    <w:basedOn w:val="DefaultParagraphFont"/>
    <w:link w:val="Date"/>
    <w:uiPriority w:val="99"/>
    <w:rsid w:val="001B05D4"/>
    <w:rPr>
      <w:rFonts w:cs="Times New Roman (Body CS)"/>
      <w:caps/>
      <w:color w:val="AEAAAA" w:themeColor="background2" w:themeShade="BF"/>
      <w:spacing w:val="20"/>
      <w:sz w:val="18"/>
    </w:rPr>
  </w:style>
  <w:style w:type="character" w:styleId="SubtleEmphasis">
    <w:name w:val="Subtle Emphasis"/>
    <w:basedOn w:val="DefaultParagraphFont"/>
    <w:uiPriority w:val="19"/>
    <w:rsid w:val="00082C99"/>
    <w:rPr>
      <w:i/>
      <w:iCs/>
      <w:color w:val="404040" w:themeColor="text1" w:themeTint="BF"/>
    </w:rPr>
  </w:style>
  <w:style w:type="character" w:styleId="Emphasis">
    <w:name w:val="Emphasis"/>
    <w:basedOn w:val="IntenseEmphasis"/>
    <w:uiPriority w:val="20"/>
    <w:qFormat/>
    <w:rsid w:val="00394576"/>
    <w:rPr>
      <w:b/>
      <w:bCs/>
      <w:i w:val="0"/>
      <w:iCs/>
      <w:color w:val="00B0F0"/>
    </w:rPr>
  </w:style>
  <w:style w:type="character" w:styleId="IntenseEmphasis">
    <w:name w:val="Intense Emphasis"/>
    <w:basedOn w:val="DefaultParagraphFont"/>
    <w:uiPriority w:val="21"/>
    <w:rsid w:val="00082C99"/>
    <w:rPr>
      <w:i/>
      <w:iCs/>
      <w:color w:val="0041FF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94576"/>
    <w:rPr>
      <w:rFonts w:asciiTheme="majorHAnsi" w:eastAsiaTheme="majorEastAsia" w:hAnsiTheme="majorHAnsi" w:cstheme="majorBidi"/>
      <w:b/>
      <w:iCs/>
      <w:color w:val="00B0F0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F47A8"/>
    <w:rPr>
      <w:rFonts w:asciiTheme="majorHAnsi" w:eastAsiaTheme="majorEastAsia" w:hAnsiTheme="majorHAnsi" w:cstheme="majorBidi"/>
      <w:b/>
      <w:bCs/>
      <w:color w:val="082651" w:themeColor="text2"/>
      <w:sz w:val="21"/>
    </w:rPr>
  </w:style>
  <w:style w:type="paragraph" w:styleId="NormalWeb">
    <w:name w:val="Normal (Web)"/>
    <w:basedOn w:val="Normal"/>
    <w:uiPriority w:val="99"/>
    <w:semiHidden/>
    <w:unhideWhenUsed/>
    <w:rsid w:val="000022B8"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oxCallout">
    <w:name w:val="Box Callout"/>
    <w:basedOn w:val="Normal"/>
    <w:qFormat/>
    <w:rsid w:val="001B05D4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0041FF" w:themeFill="accent1"/>
      <w:spacing w:before="240" w:after="360"/>
      <w:ind w:left="187"/>
    </w:pPr>
    <w:rPr>
      <w:rFonts w:ascii="Arial" w:eastAsia="Calibri" w:hAnsi="Arial" w:cs="Arial"/>
      <w:color w:val="FFFFFF" w:themeColor="background1"/>
      <w:spacing w:val="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32B3"/>
    <w:rPr>
      <w:rFonts w:asciiTheme="majorHAnsi" w:eastAsiaTheme="majorEastAsia" w:hAnsiTheme="majorHAnsi" w:cstheme="majorBidi"/>
      <w:color w:val="0030BF" w:themeColor="accent1" w:themeShade="BF"/>
      <w:sz w:val="18"/>
    </w:rPr>
  </w:style>
  <w:style w:type="character" w:styleId="Hyperlink">
    <w:name w:val="Hyperlink"/>
    <w:basedOn w:val="DefaultParagraphFont"/>
    <w:uiPriority w:val="99"/>
    <w:unhideWhenUsed/>
    <w:rsid w:val="001E1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0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5130CF24"/>
    <w:rPr>
      <w:b/>
      <w:bCs/>
      <w:smallCaps/>
      <w:color w:val="0030BF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15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A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AB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U 2">
      <a:dk1>
        <a:srgbClr val="000000"/>
      </a:dk1>
      <a:lt1>
        <a:srgbClr val="FFFFFF"/>
      </a:lt1>
      <a:dk2>
        <a:srgbClr val="082651"/>
      </a:dk2>
      <a:lt2>
        <a:srgbClr val="E7E6E6"/>
      </a:lt2>
      <a:accent1>
        <a:srgbClr val="0041FF"/>
      </a:accent1>
      <a:accent2>
        <a:srgbClr val="14C614"/>
      </a:accent2>
      <a:accent3>
        <a:srgbClr val="082651"/>
      </a:accent3>
      <a:accent4>
        <a:srgbClr val="FFB30B"/>
      </a:accent4>
      <a:accent5>
        <a:srgbClr val="C3F3E6"/>
      </a:accent5>
      <a:accent6>
        <a:srgbClr val="0000C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6c4fd4-29a5-4ff1-be69-763ddf5ecd54">
      <Terms xmlns="http://schemas.microsoft.com/office/infopath/2007/PartnerControls"/>
    </lcf76f155ced4ddcb4097134ff3c332f>
    <TaxCatchAll xmlns="a4a689da-b4c1-4e02-8f64-97b57470ca7b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C16BF74EF7042A69B1463782A45D8" ma:contentTypeVersion="14" ma:contentTypeDescription="Create a new document." ma:contentTypeScope="" ma:versionID="d0c9ea962f9907330db694815b9306e1">
  <xsd:schema xmlns:xsd="http://www.w3.org/2001/XMLSchema" xmlns:xs="http://www.w3.org/2001/XMLSchema" xmlns:p="http://schemas.microsoft.com/office/2006/metadata/properties" xmlns:ns1="http://schemas.microsoft.com/sharepoint/v3" xmlns:ns2="7a6c4fd4-29a5-4ff1-be69-763ddf5ecd54" xmlns:ns3="a4a689da-b4c1-4e02-8f64-97b57470ca7b" targetNamespace="http://schemas.microsoft.com/office/2006/metadata/properties" ma:root="true" ma:fieldsID="19e26cd250c3f0819cfd962cbb5e5bdd" ns1:_="" ns2:_="" ns3:_="">
    <xsd:import namespace="http://schemas.microsoft.com/sharepoint/v3"/>
    <xsd:import namespace="7a6c4fd4-29a5-4ff1-be69-763ddf5ecd54"/>
    <xsd:import namespace="a4a689da-b4c1-4e02-8f64-97b57470ca7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c4fd4-29a5-4ff1-be69-763ddf5ec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25c705-c4e3-478d-9151-f18c29d634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89da-b4c1-4e02-8f64-97b57470ca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d764e1-98ad-4725-9b51-b5638483e3cd}" ma:internalName="TaxCatchAll" ma:showField="CatchAllData" ma:web="a4a689da-b4c1-4e02-8f64-97b57470c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B338F-D735-CC43-A281-84A6274AB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36569F-E3A0-43A9-85FC-1211D3B959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6c4fd4-29a5-4ff1-be69-763ddf5ecd54"/>
    <ds:schemaRef ds:uri="a4a689da-b4c1-4e02-8f64-97b57470ca7b"/>
  </ds:schemaRefs>
</ds:datastoreItem>
</file>

<file path=customXml/itemProps3.xml><?xml version="1.0" encoding="utf-8"?>
<ds:datastoreItem xmlns:ds="http://schemas.openxmlformats.org/officeDocument/2006/customXml" ds:itemID="{4EF63F13-198B-4DFE-9165-E33785DC6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61925-D07B-41B8-A637-83275643F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6c4fd4-29a5-4ff1-be69-763ddf5ecd54"/>
    <ds:schemaRef ds:uri="a4a689da-b4c1-4e02-8f64-97b57470c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1137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Wiedeman</dc:creator>
  <cp:keywords/>
  <dc:description/>
  <cp:lastModifiedBy>Adeline LeBouef</cp:lastModifiedBy>
  <cp:revision>13</cp:revision>
  <dcterms:created xsi:type="dcterms:W3CDTF">2025-05-15T20:09:00Z</dcterms:created>
  <dcterms:modified xsi:type="dcterms:W3CDTF">2025-06-16T17:38:00Z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0x01010005DC16BF74EF7042A69B1463782A45D8</vt:lpwstr>
  </property>
  <property fmtid="{D5CDD505-2E9C-101B-9397-08002B2CF9AE}" pid="3" name="MediaServiceImageTags">
    <vt:lpwstr/>
  </property>
  <property fmtid="{D5CDD505-2E9C-101B-9397-08002B2CF9AE}" pid="4" name="GrammarlyDocumentId">
    <vt:lpwstr>f6583db80ab60bb46281014b5d21ac29c6ca800a09e7a26613ab6fe3148c87ec</vt:lpwstr>
  </property>
</Properties>
</file>